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B4" w:rsidRPr="008502C8" w:rsidRDefault="004043D9" w:rsidP="004043D9">
      <w:pPr>
        <w:pStyle w:val="Standard"/>
        <w:spacing w:after="198" w:line="276" w:lineRule="auto"/>
        <w:jc w:val="center"/>
        <w:rPr>
          <w:b/>
          <w:bCs/>
          <w:color w:val="FF0000"/>
          <w:sz w:val="28"/>
          <w:szCs w:val="28"/>
        </w:rPr>
      </w:pPr>
      <w:r w:rsidRPr="004043D9">
        <w:rPr>
          <w:rFonts w:ascii="Calibri" w:hAnsi="Calibri"/>
          <w:b/>
          <w:bCs/>
          <w:sz w:val="28"/>
          <w:szCs w:val="28"/>
        </w:rPr>
        <w:t>DESCRIPCIÓN DE ACTUACIÓN</w:t>
      </w:r>
      <w:r w:rsidR="00C3669F">
        <w:rPr>
          <w:rFonts w:ascii="Calibri" w:hAnsi="Calibri"/>
          <w:b/>
          <w:bCs/>
          <w:sz w:val="28"/>
          <w:szCs w:val="28"/>
        </w:rPr>
        <w:t xml:space="preserve"> DE ANDALUCÍA PARA INCLUSIÓN EN EL PNRR</w:t>
      </w:r>
    </w:p>
    <w:p w:rsidR="00D055B4" w:rsidRDefault="00D055B4">
      <w:pPr>
        <w:pStyle w:val="Standard"/>
        <w:spacing w:after="198" w:line="276" w:lineRule="auto"/>
        <w:jc w:val="both"/>
        <w:rPr>
          <w:rFonts w:ascii="Calibri" w:hAnsi="Calibri"/>
          <w:i/>
          <w:iCs/>
          <w:color w:val="FF0000"/>
          <w:sz w:val="18"/>
          <w:szCs w:val="18"/>
        </w:rPr>
      </w:pPr>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1.- CONSEJERÍA / ÓRGANO GESTOR.</w:t>
            </w:r>
          </w:p>
        </w:tc>
      </w:tr>
      <w:tr w:rsidR="00D055B4">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2.- DENOMINACIÓN DEL PROYECTO.</w:t>
            </w:r>
          </w:p>
        </w:tc>
      </w:tr>
      <w:tr w:rsidR="00D055B4">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11" w:type="dxa"/>
        <w:tblLayout w:type="fixed"/>
        <w:tblCellMar>
          <w:left w:w="10" w:type="dxa"/>
          <w:right w:w="10" w:type="dxa"/>
        </w:tblCellMar>
        <w:tblLook w:val="0000" w:firstRow="0" w:lastRow="0" w:firstColumn="0" w:lastColumn="0" w:noHBand="0" w:noVBand="0"/>
      </w:tblPr>
      <w:tblGrid>
        <w:gridCol w:w="2549"/>
        <w:gridCol w:w="5386"/>
        <w:gridCol w:w="1276"/>
      </w:tblGrid>
      <w:tr w:rsidR="00D055B4">
        <w:trPr>
          <w:trHeight w:val="440"/>
        </w:trPr>
        <w:tc>
          <w:tcPr>
            <w:tcW w:w="9211" w:type="dxa"/>
            <w:gridSpan w:val="3"/>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pPr>
            <w:r>
              <w:rPr>
                <w:rFonts w:ascii="Calibri" w:hAnsi="Calibri"/>
                <w:b/>
                <w:bCs/>
                <w:color w:val="000000"/>
                <w:sz w:val="22"/>
                <w:szCs w:val="22"/>
              </w:rPr>
              <w:t>3.- GRUPO DE TRABAJO AL QUE SE REMITE</w:t>
            </w:r>
          </w:p>
        </w:tc>
      </w:tr>
      <w:tr w:rsidR="00D055B4">
        <w:trPr>
          <w:trHeight w:val="72"/>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r>
              <w:rPr>
                <w:rFonts w:ascii="Calibri" w:hAnsi="Calibri" w:cs="Calibri"/>
                <w:b/>
                <w:color w:val="000000"/>
                <w:sz w:val="22"/>
                <w:szCs w:val="22"/>
                <w:u w:val="single"/>
              </w:rPr>
              <w:t>GRUPO DE TRABAJO</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pPr>
            <w:r>
              <w:rPr>
                <w:rFonts w:ascii="Calibri" w:hAnsi="Calibri"/>
                <w:b/>
                <w:color w:val="000000"/>
                <w:sz w:val="22"/>
                <w:szCs w:val="22"/>
                <w:u w:val="single"/>
              </w:rPr>
              <w:t>ÁREAS DE TRABAJO</w:t>
            </w:r>
          </w:p>
        </w:tc>
        <w:tc>
          <w:tcPr>
            <w:tcW w:w="127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279"/>
              <w:jc w:val="center"/>
              <w:rPr>
                <w:rFonts w:ascii="Calibri" w:hAnsi="Calibri"/>
                <w:i/>
                <w:sz w:val="20"/>
              </w:rPr>
            </w:pPr>
            <w:r>
              <w:rPr>
                <w:rFonts w:ascii="Calibri" w:hAnsi="Calibri"/>
                <w:i/>
                <w:sz w:val="20"/>
              </w:rPr>
              <w:t>Marque con una “X”</w:t>
            </w:r>
          </w:p>
        </w:tc>
      </w:tr>
      <w:tr w:rsidR="00D055B4">
        <w:trPr>
          <w:trHeight w:val="72"/>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pPr>
              <w:rPr>
                <w:rFonts w:ascii="Calibri" w:hAnsi="Calibri" w:cs="Calibri"/>
                <w:b/>
                <w:i/>
                <w:color w:val="000000"/>
                <w:sz w:val="22"/>
                <w:szCs w:val="22"/>
              </w:rPr>
            </w:pPr>
            <w:r>
              <w:rPr>
                <w:rFonts w:ascii="Calibri" w:hAnsi="Calibri" w:cs="Calibri"/>
                <w:b/>
                <w:i/>
                <w:color w:val="000000"/>
                <w:sz w:val="22"/>
                <w:szCs w:val="22"/>
              </w:rPr>
              <w:t>ACTIVACIÓN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 xml:space="preserve">Desarrollo de tecnologías limpias y energías renovables </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ind w:right="279"/>
              <w:jc w:val="both"/>
              <w:rPr>
                <w:rFonts w:ascii="Calibri" w:hAnsi="Calibri"/>
                <w:sz w:val="20"/>
              </w:rPr>
            </w:pPr>
          </w:p>
        </w:tc>
      </w:tr>
      <w:tr w:rsidR="00D055B4">
        <w:trPr>
          <w:trHeight w:val="71"/>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pPr>
              <w:rPr>
                <w:rFonts w:ascii="Calibri" w:hAnsi="Calibri" w:cs="Calibri"/>
                <w:b/>
                <w:i/>
                <w:color w:val="000000"/>
                <w:sz w:val="22"/>
                <w:szCs w:val="22"/>
              </w:rPr>
            </w:pPr>
            <w:r>
              <w:rPr>
                <w:rFonts w:ascii="Calibri" w:hAnsi="Calibri" w:cs="Calibri"/>
                <w:b/>
                <w:i/>
                <w:color w:val="000000"/>
                <w:sz w:val="22"/>
                <w:szCs w:val="22"/>
              </w:rPr>
              <w:t>RENOVACIÓN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Mejora de la eficiencia energética de edificios públicos y privados</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sz w:val="20"/>
              </w:rPr>
            </w:pPr>
          </w:p>
        </w:tc>
      </w:tr>
      <w:tr w:rsidR="00D055B4">
        <w:trPr>
          <w:trHeight w:val="71"/>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pPr>
              <w:rPr>
                <w:rFonts w:ascii="Calibri" w:hAnsi="Calibri" w:cs="Calibri"/>
                <w:b/>
                <w:i/>
                <w:color w:val="000000"/>
                <w:sz w:val="22"/>
                <w:szCs w:val="22"/>
              </w:rPr>
            </w:pPr>
            <w:r>
              <w:rPr>
                <w:rFonts w:ascii="Calibri" w:hAnsi="Calibri" w:cs="Calibri"/>
                <w:b/>
                <w:i/>
                <w:color w:val="000000"/>
                <w:sz w:val="22"/>
                <w:szCs w:val="22"/>
              </w:rPr>
              <w:t>RECARGA Y REPOSTAJE</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Transporte sostenible e inteligente, de estaciones de carga y repostaje</w:t>
            </w:r>
            <w:r w:rsidR="0033768A">
              <w:rPr>
                <w:rFonts w:ascii="Calibri" w:hAnsi="Calibri"/>
                <w:color w:val="000000"/>
                <w:sz w:val="20"/>
              </w:rPr>
              <w:t>.</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sz w:val="20"/>
              </w:rPr>
            </w:pPr>
          </w:p>
        </w:tc>
      </w:tr>
      <w:tr w:rsidR="00D055B4">
        <w:trPr>
          <w:trHeight w:val="71"/>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pPr>
              <w:rPr>
                <w:rFonts w:ascii="Calibri" w:hAnsi="Calibri" w:cs="Calibri"/>
                <w:b/>
                <w:i/>
                <w:color w:val="000000"/>
                <w:sz w:val="22"/>
                <w:szCs w:val="22"/>
              </w:rPr>
            </w:pPr>
            <w:r>
              <w:rPr>
                <w:rFonts w:ascii="Calibri" w:hAnsi="Calibri" w:cs="Calibri"/>
                <w:b/>
                <w:i/>
                <w:color w:val="000000"/>
                <w:sz w:val="22"/>
                <w:szCs w:val="22"/>
              </w:rPr>
              <w:t>CONEXIÓN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Acceso a servicios de banda ancha rápida a todas las empresas y hogares, incluidas las redes de fibra y 5G, así como el desarrollo de la comunicación de criptografía cuántica.</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sz w:val="20"/>
              </w:rPr>
            </w:pPr>
          </w:p>
        </w:tc>
      </w:tr>
      <w:tr w:rsidR="00D055B4">
        <w:trPr>
          <w:trHeight w:val="71"/>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pPr>
              <w:rPr>
                <w:rFonts w:ascii="Calibri" w:hAnsi="Calibri" w:cs="Calibri"/>
                <w:b/>
                <w:i/>
                <w:color w:val="000000"/>
                <w:sz w:val="22"/>
                <w:szCs w:val="22"/>
              </w:rPr>
            </w:pPr>
            <w:r>
              <w:rPr>
                <w:rFonts w:ascii="Calibri" w:hAnsi="Calibri" w:cs="Calibri"/>
                <w:b/>
                <w:i/>
                <w:color w:val="000000"/>
                <w:sz w:val="22"/>
                <w:szCs w:val="22"/>
              </w:rPr>
              <w:t>MODERNIZACIÓN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Digitalización de la Administración y los servicios públicos</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sz w:val="20"/>
              </w:rPr>
            </w:pPr>
          </w:p>
        </w:tc>
      </w:tr>
      <w:tr w:rsidR="00D055B4">
        <w:trPr>
          <w:trHeight w:val="71"/>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DF2E07">
            <w:pPr>
              <w:rPr>
                <w:rFonts w:ascii="Calibri" w:hAnsi="Calibri" w:cs="Calibri"/>
                <w:b/>
                <w:i/>
                <w:color w:val="000000"/>
                <w:sz w:val="22"/>
                <w:szCs w:val="22"/>
              </w:rPr>
            </w:pPr>
            <w:r>
              <w:rPr>
                <w:rFonts w:ascii="Calibri" w:hAnsi="Calibri" w:cs="Calibri"/>
                <w:b/>
                <w:i/>
                <w:color w:val="000000"/>
                <w:sz w:val="22"/>
                <w:szCs w:val="22"/>
              </w:rPr>
              <w:t>EXPANSIÓN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Aumento de las capacidades en datos en la nube &amp; desarrollo de procesadores de máxima potencia</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sz w:val="20"/>
              </w:rPr>
            </w:pPr>
          </w:p>
        </w:tc>
      </w:tr>
      <w:tr w:rsidR="00D055B4">
        <w:trPr>
          <w:trHeight w:val="71"/>
        </w:trPr>
        <w:tc>
          <w:tcPr>
            <w:tcW w:w="2549"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D055B4" w:rsidRDefault="007023CB">
            <w:pPr>
              <w:rPr>
                <w:rFonts w:ascii="Calibri" w:hAnsi="Calibri" w:cs="Calibri"/>
                <w:b/>
                <w:i/>
                <w:color w:val="000000"/>
                <w:sz w:val="22"/>
                <w:szCs w:val="22"/>
              </w:rPr>
            </w:pPr>
            <w:r>
              <w:rPr>
                <w:rFonts w:ascii="Calibri" w:hAnsi="Calibri" w:cs="Calibri"/>
                <w:b/>
                <w:i/>
                <w:color w:val="000000"/>
                <w:sz w:val="22"/>
                <w:szCs w:val="22"/>
              </w:rPr>
              <w:t>RECICLAJE Y PERFECCIONAMIENTO PROFESIONAL</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D055B4" w:rsidRDefault="007023CB">
            <w:pPr>
              <w:pStyle w:val="TableContents"/>
              <w:ind w:right="123"/>
              <w:jc w:val="both"/>
              <w:rPr>
                <w:rFonts w:ascii="Calibri" w:hAnsi="Calibri"/>
                <w:color w:val="000000"/>
                <w:sz w:val="20"/>
              </w:rPr>
            </w:pPr>
            <w:r>
              <w:rPr>
                <w:rFonts w:ascii="Calibri" w:hAnsi="Calibri"/>
                <w:color w:val="000000"/>
                <w:sz w:val="20"/>
              </w:rPr>
              <w:t>Adaptación de los sistemas educativos a las competencias digitales y la educación y la FP en todas las edades</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11" w:type="dxa"/>
        <w:tblLayout w:type="fixed"/>
        <w:tblCellMar>
          <w:left w:w="10" w:type="dxa"/>
          <w:right w:w="10" w:type="dxa"/>
        </w:tblCellMar>
        <w:tblLook w:val="0000" w:firstRow="0" w:lastRow="0" w:firstColumn="0" w:lastColumn="0" w:noHBand="0" w:noVBand="0"/>
      </w:tblPr>
      <w:tblGrid>
        <w:gridCol w:w="2324"/>
        <w:gridCol w:w="3060"/>
        <w:gridCol w:w="1701"/>
        <w:gridCol w:w="2126"/>
      </w:tblGrid>
      <w:tr w:rsidR="00D055B4">
        <w:trPr>
          <w:trHeight w:val="440"/>
        </w:trPr>
        <w:tc>
          <w:tcPr>
            <w:tcW w:w="9211" w:type="dxa"/>
            <w:gridSpan w:val="4"/>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4.- OBJETIVOS QUE SE ESPERAN ALCANZAR.</w:t>
            </w:r>
          </w:p>
        </w:tc>
      </w:tr>
      <w:tr w:rsidR="00D055B4" w:rsidTr="00196FAD">
        <w:trPr>
          <w:trHeight w:val="517"/>
        </w:trPr>
        <w:tc>
          <w:tcPr>
            <w:tcW w:w="2324" w:type="dxa"/>
            <w:tcBorders>
              <w:top w:val="single" w:sz="4" w:space="0" w:color="000000"/>
              <w:left w:val="single" w:sz="4" w:space="0" w:color="000000"/>
              <w:right w:val="single" w:sz="4" w:space="0" w:color="000000"/>
            </w:tcBorders>
            <w:shd w:val="clear" w:color="auto" w:fill="D9D9D9"/>
            <w:tcMar>
              <w:top w:w="55" w:type="dxa"/>
              <w:left w:w="55" w:type="dxa"/>
              <w:bottom w:w="55" w:type="dxa"/>
              <w:right w:w="55" w:type="dxa"/>
            </w:tcMar>
            <w:vAlign w:val="center"/>
          </w:tcPr>
          <w:p w:rsidR="00D055B4" w:rsidRPr="0033768A" w:rsidRDefault="0033768A">
            <w:pPr>
              <w:pStyle w:val="TableContents"/>
              <w:jc w:val="both"/>
              <w:rPr>
                <w:rFonts w:ascii="Calibri" w:hAnsi="Calibri" w:cs="Calibri"/>
                <w:b/>
                <w:i/>
                <w:color w:val="000000"/>
                <w:sz w:val="22"/>
                <w:szCs w:val="22"/>
              </w:rPr>
            </w:pPr>
            <w:r w:rsidRPr="0033768A">
              <w:rPr>
                <w:rFonts w:ascii="Calibri" w:hAnsi="Calibri" w:cs="Calibri"/>
                <w:b/>
                <w:i/>
                <w:color w:val="000000"/>
                <w:sz w:val="22"/>
                <w:szCs w:val="22"/>
              </w:rPr>
              <w:t>Área de trabajo</w:t>
            </w:r>
            <w:r w:rsidR="002F0E77">
              <w:rPr>
                <w:rFonts w:ascii="Calibri" w:hAnsi="Calibri" w:cs="Calibri"/>
                <w:b/>
                <w:i/>
                <w:color w:val="000000"/>
                <w:sz w:val="22"/>
                <w:szCs w:val="22"/>
              </w:rPr>
              <w:t>* (descripción completa de cada área de trabajo en Anexo)</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Pr="004043D9" w:rsidRDefault="0033768A">
            <w:pPr>
              <w:pStyle w:val="TableContents"/>
              <w:jc w:val="both"/>
              <w:rPr>
                <w:rFonts w:ascii="Calibri" w:hAnsi="Calibri" w:cs="Calibri"/>
                <w:b/>
                <w:i/>
                <w:sz w:val="22"/>
                <w:szCs w:val="22"/>
              </w:rPr>
            </w:pPr>
            <w:proofErr w:type="spellStart"/>
            <w:r w:rsidRPr="004043D9">
              <w:rPr>
                <w:rFonts w:ascii="Calibri" w:hAnsi="Calibri" w:cs="Calibri"/>
                <w:b/>
                <w:i/>
                <w:sz w:val="22"/>
                <w:szCs w:val="22"/>
              </w:rPr>
              <w:t>Sub-areas</w:t>
            </w:r>
            <w:proofErr w:type="spellEnd"/>
            <w:r w:rsidRPr="004043D9">
              <w:rPr>
                <w:rFonts w:ascii="Calibri" w:hAnsi="Calibri" w:cs="Calibri"/>
                <w:b/>
                <w:i/>
                <w:sz w:val="22"/>
                <w:szCs w:val="22"/>
              </w:rPr>
              <w:t xml:space="preserve"> de trabajo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7023CB">
            <w:pPr>
              <w:pStyle w:val="TableContents"/>
              <w:ind w:right="154"/>
              <w:jc w:val="center"/>
              <w:rPr>
                <w:rFonts w:ascii="Calibri" w:hAnsi="Calibri" w:cs="Calibri"/>
                <w:b/>
                <w:i/>
                <w:sz w:val="22"/>
                <w:szCs w:val="22"/>
              </w:rPr>
            </w:pPr>
            <w:r>
              <w:rPr>
                <w:rFonts w:ascii="Calibri" w:hAnsi="Calibri" w:cs="Calibri"/>
                <w:b/>
                <w:i/>
                <w:sz w:val="22"/>
                <w:szCs w:val="22"/>
              </w:rPr>
              <w:t xml:space="preserve">Marque con una “X” el área/objetivo en el que impacta el proyecto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Pr="0033768A" w:rsidRDefault="007023CB">
            <w:pPr>
              <w:pStyle w:val="TableContents"/>
              <w:ind w:right="214"/>
              <w:jc w:val="center"/>
              <w:rPr>
                <w:rFonts w:ascii="Calibri" w:hAnsi="Calibri" w:cs="Calibri"/>
                <w:b/>
                <w:i/>
                <w:sz w:val="22"/>
                <w:szCs w:val="22"/>
                <w:highlight w:val="yellow"/>
              </w:rPr>
            </w:pPr>
            <w:r w:rsidRPr="00A232F8">
              <w:rPr>
                <w:rFonts w:ascii="Calibri" w:hAnsi="Calibri" w:cs="Calibri"/>
                <w:b/>
                <w:i/>
                <w:sz w:val="22"/>
                <w:szCs w:val="22"/>
              </w:rPr>
              <w:t>Incluya indicador</w:t>
            </w:r>
            <w:r w:rsidR="00196FAD" w:rsidRPr="00A232F8">
              <w:rPr>
                <w:rFonts w:ascii="Calibri" w:hAnsi="Calibri" w:cs="Calibri"/>
                <w:b/>
                <w:i/>
                <w:sz w:val="22"/>
                <w:szCs w:val="22"/>
              </w:rPr>
              <w:t>/es</w:t>
            </w:r>
            <w:r w:rsidRPr="00A232F8">
              <w:rPr>
                <w:rFonts w:ascii="Calibri" w:hAnsi="Calibri" w:cs="Calibri"/>
                <w:b/>
                <w:i/>
                <w:sz w:val="22"/>
                <w:szCs w:val="22"/>
              </w:rPr>
              <w:t xml:space="preserve"> cuantificable</w:t>
            </w:r>
            <w:r w:rsidR="00C3669F">
              <w:rPr>
                <w:rFonts w:ascii="Calibri" w:hAnsi="Calibri" w:cs="Calibri"/>
                <w:b/>
                <w:i/>
                <w:sz w:val="22"/>
                <w:szCs w:val="22"/>
              </w:rPr>
              <w:t>s</w:t>
            </w:r>
            <w:r w:rsidRPr="00A232F8">
              <w:rPr>
                <w:rFonts w:ascii="Calibri" w:hAnsi="Calibri" w:cs="Calibri"/>
                <w:b/>
                <w:i/>
                <w:sz w:val="22"/>
                <w:szCs w:val="22"/>
              </w:rPr>
              <w:t xml:space="preserve"> que contribuya</w:t>
            </w:r>
            <w:r w:rsidR="00C3669F">
              <w:rPr>
                <w:rFonts w:ascii="Calibri" w:hAnsi="Calibri" w:cs="Calibri"/>
                <w:b/>
                <w:i/>
                <w:sz w:val="22"/>
                <w:szCs w:val="22"/>
              </w:rPr>
              <w:t>n</w:t>
            </w:r>
            <w:r w:rsidRPr="00A232F8">
              <w:rPr>
                <w:rFonts w:ascii="Calibri" w:hAnsi="Calibri" w:cs="Calibri"/>
                <w:b/>
                <w:i/>
                <w:sz w:val="22"/>
                <w:szCs w:val="22"/>
              </w:rPr>
              <w:t xml:space="preserve"> a este objetivo</w:t>
            </w:r>
          </w:p>
        </w:tc>
      </w:tr>
      <w:tr w:rsidR="00D055B4" w:rsidTr="00196FAD">
        <w:trPr>
          <w:trHeight w:val="517"/>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7023CB">
            <w:pPr>
              <w:pStyle w:val="TableContents"/>
              <w:jc w:val="both"/>
            </w:pPr>
            <w:r>
              <w:rPr>
                <w:rFonts w:ascii="Calibri" w:hAnsi="Calibri" w:cs="Calibri"/>
                <w:b/>
                <w:i/>
                <w:color w:val="000000"/>
                <w:sz w:val="22"/>
                <w:szCs w:val="22"/>
              </w:rPr>
              <w:t>ACTIVACIÓN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Tecnologías limpias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517"/>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b/>
                <w:i/>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Energías renovables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738"/>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7023CB">
            <w:pPr>
              <w:pStyle w:val="TableContents"/>
              <w:jc w:val="both"/>
              <w:rPr>
                <w:rFonts w:ascii="Calibri" w:hAnsi="Calibri" w:cs="Calibri"/>
                <w:b/>
                <w:i/>
                <w:sz w:val="22"/>
                <w:szCs w:val="22"/>
              </w:rPr>
            </w:pPr>
            <w:r>
              <w:rPr>
                <w:rFonts w:ascii="Calibri" w:hAnsi="Calibri" w:cs="Calibri"/>
                <w:b/>
                <w:i/>
                <w:sz w:val="22"/>
                <w:szCs w:val="22"/>
              </w:rPr>
              <w:lastRenderedPageBreak/>
              <w:t>RENOVACIÓN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Eficiencia energética edificios privados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654"/>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b/>
                <w:i/>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Eficiencia energética edificios públicos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815"/>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7023CB">
            <w:pPr>
              <w:pStyle w:val="TableContents"/>
              <w:jc w:val="both"/>
            </w:pPr>
            <w:r>
              <w:rPr>
                <w:rFonts w:ascii="Calibri" w:hAnsi="Calibri" w:cs="Calibri"/>
                <w:b/>
                <w:i/>
                <w:color w:val="000000"/>
                <w:sz w:val="22"/>
                <w:szCs w:val="22"/>
              </w:rPr>
              <w:t>RECARGA Y REPOSTAJE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pPr>
            <w:r>
              <w:rPr>
                <w:rFonts w:ascii="Calibri" w:hAnsi="Calibri" w:cs="Calibri"/>
                <w:color w:val="000000"/>
                <w:sz w:val="22"/>
                <w:szCs w:val="22"/>
              </w:rPr>
              <w:t>Transporte sostenible e inteligente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517"/>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b/>
                <w:i/>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pPr>
            <w:r>
              <w:rPr>
                <w:rFonts w:ascii="Calibri" w:hAnsi="Calibri" w:cs="Calibri"/>
                <w:color w:val="000000"/>
                <w:sz w:val="22"/>
                <w:szCs w:val="22"/>
              </w:rPr>
              <w:t>Estaciones de carga y repostaje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726"/>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7023CB">
            <w:pPr>
              <w:pStyle w:val="TableContents"/>
              <w:jc w:val="both"/>
            </w:pPr>
            <w:r>
              <w:rPr>
                <w:rFonts w:ascii="Calibri" w:hAnsi="Calibri" w:cs="Calibri"/>
                <w:b/>
                <w:i/>
                <w:color w:val="000000"/>
                <w:sz w:val="22"/>
                <w:szCs w:val="22"/>
              </w:rPr>
              <w:t>CONEXIÓN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Banda ancha rápida a las empresas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517"/>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b/>
                <w:i/>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Banda ancha rápida a los hogares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837"/>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b/>
                <w:i/>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Comunicación de criptografía cuántica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841"/>
        </w:trPr>
        <w:tc>
          <w:tcPr>
            <w:tcW w:w="2324"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7023CB">
            <w:pPr>
              <w:pStyle w:val="TableContents"/>
              <w:jc w:val="both"/>
            </w:pPr>
            <w:r>
              <w:rPr>
                <w:rFonts w:ascii="Calibri" w:hAnsi="Calibri" w:cs="Calibri"/>
                <w:b/>
                <w:i/>
                <w:color w:val="000000"/>
                <w:sz w:val="22"/>
                <w:szCs w:val="22"/>
              </w:rPr>
              <w:t>MODERNIZACIÓN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sz w:val="22"/>
                <w:szCs w:val="22"/>
              </w:rPr>
            </w:pPr>
            <w:r>
              <w:rPr>
                <w:rFonts w:ascii="Calibri" w:hAnsi="Calibri" w:cs="Calibri"/>
                <w:sz w:val="22"/>
                <w:szCs w:val="22"/>
              </w:rPr>
              <w:t>Digitalización de la Administración y los servicios públicos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653"/>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F2E07">
            <w:pPr>
              <w:pStyle w:val="TableContents"/>
              <w:jc w:val="both"/>
              <w:rPr>
                <w:rFonts w:ascii="Calibri" w:hAnsi="Calibri" w:cs="Calibri"/>
                <w:b/>
                <w:i/>
                <w:color w:val="000000"/>
                <w:sz w:val="22"/>
                <w:szCs w:val="22"/>
              </w:rPr>
            </w:pPr>
            <w:r>
              <w:rPr>
                <w:rFonts w:ascii="Calibri" w:hAnsi="Calibri" w:cs="Calibri"/>
                <w:b/>
                <w:i/>
                <w:color w:val="000000"/>
                <w:sz w:val="22"/>
                <w:szCs w:val="22"/>
              </w:rPr>
              <w:t>EXPANSIÓN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pPr>
            <w:r>
              <w:rPr>
                <w:rFonts w:ascii="Calibri" w:hAnsi="Calibri" w:cs="Calibri"/>
                <w:color w:val="000000"/>
                <w:sz w:val="22"/>
                <w:szCs w:val="22"/>
              </w:rPr>
              <w:t>Aumento de las capacidades en datos en la nube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787"/>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b/>
                <w:i/>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color w:val="000000"/>
                <w:sz w:val="22"/>
                <w:szCs w:val="22"/>
              </w:rPr>
            </w:pPr>
            <w:r>
              <w:rPr>
                <w:rFonts w:ascii="Calibri" w:hAnsi="Calibri" w:cs="Calibri"/>
                <w:color w:val="000000"/>
                <w:sz w:val="22"/>
                <w:szCs w:val="22"/>
              </w:rPr>
              <w:t>Desarrollo de procesadores de máxima potencia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847"/>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7023CB" w:rsidP="004043D9">
            <w:pPr>
              <w:pStyle w:val="TableContents"/>
              <w:rPr>
                <w:rFonts w:ascii="Calibri" w:hAnsi="Calibri" w:cs="Calibri"/>
                <w:b/>
                <w:i/>
                <w:color w:val="000000"/>
                <w:sz w:val="22"/>
                <w:szCs w:val="22"/>
              </w:rPr>
            </w:pPr>
            <w:r>
              <w:rPr>
                <w:rFonts w:ascii="Calibri" w:hAnsi="Calibri" w:cs="Calibri"/>
                <w:b/>
                <w:i/>
                <w:color w:val="000000"/>
                <w:sz w:val="22"/>
                <w:szCs w:val="22"/>
              </w:rPr>
              <w:t>RECICLAJE Y PERFECCIONAMIENTO PROFESIONAL</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color w:val="000000"/>
                <w:sz w:val="22"/>
                <w:szCs w:val="22"/>
              </w:rPr>
            </w:pPr>
            <w:r>
              <w:rPr>
                <w:rFonts w:ascii="Calibri" w:hAnsi="Calibri" w:cs="Calibri"/>
                <w:color w:val="000000"/>
                <w:sz w:val="22"/>
                <w:szCs w:val="22"/>
              </w:rPr>
              <w:t>Adaptación de los sistemas educativos (sin incluir FP) a competencias digitales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r w:rsidR="00D055B4" w:rsidTr="00196FAD">
        <w:trPr>
          <w:trHeight w:hRule="exact" w:val="745"/>
        </w:trPr>
        <w:tc>
          <w:tcPr>
            <w:tcW w:w="2324"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D055B4" w:rsidRDefault="00D055B4">
            <w:pPr>
              <w:pStyle w:val="TableContents"/>
              <w:jc w:val="both"/>
              <w:rPr>
                <w:rFonts w:ascii="Calibri" w:hAnsi="Calibri" w:cs="Calibri"/>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055B4" w:rsidRDefault="007023CB">
            <w:pPr>
              <w:pStyle w:val="TableContents"/>
              <w:ind w:right="139"/>
              <w:jc w:val="both"/>
              <w:rPr>
                <w:rFonts w:ascii="Calibri" w:hAnsi="Calibri" w:cs="Calibri"/>
                <w:color w:val="000000"/>
                <w:sz w:val="22"/>
                <w:szCs w:val="22"/>
              </w:rPr>
            </w:pPr>
            <w:r>
              <w:rPr>
                <w:rFonts w:ascii="Calibri" w:hAnsi="Calibri" w:cs="Calibri"/>
                <w:color w:val="000000"/>
                <w:sz w:val="22"/>
                <w:szCs w:val="22"/>
              </w:rPr>
              <w:t>Adaptación de FP a competencias digitales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55B4" w:rsidRDefault="00D055B4">
            <w:pPr>
              <w:pStyle w:val="TableContents"/>
              <w:jc w:val="both"/>
              <w:rPr>
                <w:rFonts w:ascii="Calibri" w:hAnsi="Calibri" w:cs="Calibri"/>
                <w:sz w:val="22"/>
                <w:szCs w:val="22"/>
              </w:rPr>
            </w:pPr>
          </w:p>
        </w:tc>
      </w:tr>
    </w:tbl>
    <w:p w:rsidR="00196FAD" w:rsidRDefault="00196FAD">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5.- PLANIFICACIÓN REGIONAL O NACIONAL DE REFERENCIA.</w:t>
            </w:r>
          </w:p>
        </w:tc>
      </w:tr>
      <w:tr w:rsidR="00D055B4">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D055B4" w:rsidRPr="00EC5396" w:rsidRDefault="007023CB">
            <w:pPr>
              <w:pStyle w:val="TableContents"/>
              <w:jc w:val="both"/>
              <w:rPr>
                <w:rFonts w:ascii="Calibri" w:hAnsi="Calibri"/>
                <w:i/>
                <w:iCs/>
                <w:color w:val="808080"/>
                <w:sz w:val="20"/>
              </w:rPr>
            </w:pPr>
            <w:r w:rsidRPr="00EC5396">
              <w:rPr>
                <w:rFonts w:ascii="Calibri" w:hAnsi="Calibri"/>
                <w:i/>
                <w:iCs/>
                <w:color w:val="808080"/>
                <w:sz w:val="20"/>
              </w:rPr>
              <w:t xml:space="preserve">Describir </w:t>
            </w:r>
            <w:r w:rsidR="00F50B4F" w:rsidRPr="00EC5396">
              <w:rPr>
                <w:rFonts w:ascii="Calibri" w:hAnsi="Calibri"/>
                <w:i/>
                <w:iCs/>
                <w:color w:val="808080"/>
                <w:sz w:val="20"/>
              </w:rPr>
              <w:t>la política pública a la que contribuye el proyecto</w:t>
            </w:r>
            <w:r w:rsidRPr="00EC5396">
              <w:rPr>
                <w:rFonts w:ascii="Calibri" w:hAnsi="Calibri"/>
                <w:i/>
                <w:iCs/>
                <w:color w:val="808080"/>
                <w:sz w:val="20"/>
              </w:rPr>
              <w:t>, tales como estrategias, planes...</w:t>
            </w:r>
          </w:p>
        </w:tc>
      </w:tr>
      <w:tr w:rsidR="00D055B4">
        <w:trPr>
          <w:trHeight w:val="538"/>
        </w:trPr>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p w:rsidR="00C3669F" w:rsidRDefault="00C3669F">
      <w:pPr>
        <w:pStyle w:val="Standard"/>
        <w:spacing w:after="198" w:line="276" w:lineRule="auto"/>
        <w:jc w:val="both"/>
        <w:rPr>
          <w:rFonts w:ascii="Calibri" w:hAnsi="Calibri"/>
          <w:sz w:val="22"/>
          <w:szCs w:val="22"/>
        </w:rPr>
      </w:pPr>
    </w:p>
    <w:p w:rsidR="00C3669F" w:rsidRDefault="00C3669F">
      <w:pPr>
        <w:pStyle w:val="Standard"/>
        <w:spacing w:after="198" w:line="276" w:lineRule="auto"/>
        <w:jc w:val="both"/>
        <w:rPr>
          <w:rFonts w:ascii="Calibri" w:hAnsi="Calibri"/>
          <w:sz w:val="22"/>
          <w:szCs w:val="22"/>
        </w:rPr>
      </w:pPr>
      <w:bookmarkStart w:id="0" w:name="_GoBack"/>
      <w:bookmarkEnd w:id="0"/>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lastRenderedPageBreak/>
              <w:t>6.- DESCRIPCIÓN DE LAS ACTUACIONES A REALIZAR EN EL PROYECTO PROPUESTO.</w:t>
            </w:r>
          </w:p>
        </w:tc>
      </w:tr>
      <w:tr w:rsidR="00D055B4">
        <w:trPr>
          <w:trHeight w:hRule="exact" w:val="3305"/>
        </w:trPr>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7.- DESTINATARIOS DEL PROYECTO.</w:t>
            </w:r>
          </w:p>
        </w:tc>
      </w:tr>
      <w:tr w:rsidR="00D055B4">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D055B4" w:rsidRDefault="007023CB">
            <w:pPr>
              <w:pStyle w:val="TableContents"/>
              <w:jc w:val="both"/>
              <w:rPr>
                <w:rFonts w:ascii="Calibri" w:hAnsi="Calibri"/>
                <w:i/>
                <w:iCs/>
                <w:color w:val="808080"/>
                <w:sz w:val="20"/>
              </w:rPr>
            </w:pPr>
            <w:r>
              <w:rPr>
                <w:rFonts w:ascii="Calibri" w:hAnsi="Calibri"/>
                <w:i/>
                <w:iCs/>
                <w:color w:val="808080"/>
                <w:sz w:val="20"/>
              </w:rPr>
              <w:t>Por ejemplo, empresas en general, pequeñas y mediana empresas [pymes], sectores específicos, población en general, familias, estudiantes, trabajadores del sector…</w:t>
            </w:r>
          </w:p>
        </w:tc>
      </w:tr>
      <w:tr w:rsidR="00D055B4">
        <w:trPr>
          <w:trHeight w:val="693"/>
        </w:trPr>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8.- COSTE TOTAL ESTIMADO DEL PROYECTO.</w:t>
            </w:r>
          </w:p>
        </w:tc>
      </w:tr>
      <w:tr w:rsidR="00D055B4">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1162"/>
        <w:gridCol w:w="1162"/>
        <w:gridCol w:w="1162"/>
        <w:gridCol w:w="1163"/>
        <w:gridCol w:w="1162"/>
        <w:gridCol w:w="1162"/>
        <w:gridCol w:w="1162"/>
        <w:gridCol w:w="1163"/>
      </w:tblGrid>
      <w:tr w:rsidR="00D055B4">
        <w:trPr>
          <w:trHeight w:val="440"/>
        </w:trPr>
        <w:tc>
          <w:tcPr>
            <w:tcW w:w="9298" w:type="dxa"/>
            <w:gridSpan w:val="8"/>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9.- DISTRIBUCIÓN ANUAL DEL COSTE TOTAL ESTIMADO DEL PROYECTO.</w:t>
            </w:r>
          </w:p>
        </w:tc>
      </w:tr>
      <w:tr w:rsidR="00D055B4">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D055B4" w:rsidRDefault="007023CB">
            <w:pPr>
              <w:pStyle w:val="TableContents"/>
              <w:jc w:val="center"/>
              <w:rPr>
                <w:rFonts w:ascii="Calibri" w:hAnsi="Calibri"/>
                <w:b/>
                <w:bCs/>
                <w:sz w:val="18"/>
                <w:szCs w:val="18"/>
              </w:rPr>
            </w:pPr>
            <w:r>
              <w:rPr>
                <w:rFonts w:ascii="Calibri" w:hAnsi="Calibri"/>
                <w:b/>
                <w:bCs/>
                <w:sz w:val="18"/>
                <w:szCs w:val="18"/>
              </w:rPr>
              <w:t>COSTE TOTAL</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2020</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2021</w:t>
            </w:r>
          </w:p>
        </w:tc>
        <w:tc>
          <w:tcPr>
            <w:tcW w:w="1163"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2022</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2023</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2024</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2025</w:t>
            </w:r>
          </w:p>
        </w:tc>
        <w:tc>
          <w:tcPr>
            <w:tcW w:w="1163"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18"/>
                <w:szCs w:val="18"/>
              </w:rPr>
            </w:pPr>
            <w:r>
              <w:rPr>
                <w:rFonts w:ascii="Calibri" w:hAnsi="Calibri"/>
                <w:b/>
                <w:bCs/>
                <w:sz w:val="18"/>
                <w:szCs w:val="18"/>
              </w:rPr>
              <w:t>2026</w:t>
            </w:r>
          </w:p>
        </w:tc>
      </w:tr>
      <w:tr w:rsidR="00D055B4">
        <w:tc>
          <w:tcPr>
            <w:tcW w:w="11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5B4" w:rsidRDefault="00D055B4">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055B4" w:rsidRDefault="00D055B4">
            <w:pPr>
              <w:pStyle w:val="TableContents"/>
              <w:jc w:val="center"/>
              <w:rPr>
                <w:rFonts w:ascii="Calibri" w:hAnsi="Calibri"/>
                <w:sz w:val="18"/>
                <w:szCs w:val="18"/>
              </w:rPr>
            </w:pPr>
          </w:p>
        </w:tc>
      </w:tr>
    </w:tbl>
    <w:p w:rsidR="00D055B4" w:rsidRDefault="00D055B4">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4959"/>
        <w:gridCol w:w="2126"/>
        <w:gridCol w:w="2213"/>
      </w:tblGrid>
      <w:tr w:rsidR="00D055B4">
        <w:trPr>
          <w:trHeight w:val="440"/>
        </w:trPr>
        <w:tc>
          <w:tcPr>
            <w:tcW w:w="9298" w:type="dxa"/>
            <w:gridSpan w:val="3"/>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10.- CRONOGRAMA GENERAL DEL PROYECTO.</w:t>
            </w:r>
          </w:p>
        </w:tc>
      </w:tr>
      <w:tr w:rsidR="00D055B4">
        <w:tc>
          <w:tcPr>
            <w:tcW w:w="9298" w:type="dxa"/>
            <w:gridSpan w:val="3"/>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D055B4" w:rsidRDefault="007023CB">
            <w:pPr>
              <w:pStyle w:val="TableContents"/>
              <w:jc w:val="both"/>
              <w:rPr>
                <w:rFonts w:ascii="Calibri" w:hAnsi="Calibri"/>
                <w:i/>
                <w:iCs/>
                <w:color w:val="808080"/>
                <w:sz w:val="20"/>
              </w:rPr>
            </w:pPr>
            <w:r>
              <w:rPr>
                <w:rFonts w:ascii="Calibri" w:hAnsi="Calibri"/>
                <w:i/>
                <w:iCs/>
                <w:color w:val="808080"/>
                <w:sz w:val="20"/>
              </w:rPr>
              <w:t>En caso de que sea posible, desglose el proyecto en sus tareas fundamentales, y para cada una de ellas indique el plazo de inicio y el plazo de finalización</w:t>
            </w:r>
            <w:r w:rsidR="00EC5396">
              <w:rPr>
                <w:rFonts w:ascii="Calibri" w:hAnsi="Calibri"/>
                <w:i/>
                <w:iCs/>
                <w:color w:val="808080"/>
                <w:sz w:val="20"/>
              </w:rPr>
              <w:t>.</w:t>
            </w:r>
          </w:p>
        </w:tc>
      </w:tr>
      <w:tr w:rsidR="00D055B4">
        <w:tc>
          <w:tcPr>
            <w:tcW w:w="4959" w:type="dxa"/>
            <w:tcBorders>
              <w:left w:val="single" w:sz="2" w:space="0" w:color="000000"/>
              <w:bottom w:val="single" w:sz="4" w:space="0" w:color="000000"/>
              <w:right w:val="single" w:sz="2" w:space="0" w:color="000000"/>
            </w:tcBorders>
            <w:shd w:val="clear" w:color="auto" w:fill="D9D9D9"/>
            <w:tcMar>
              <w:top w:w="55" w:type="dxa"/>
              <w:left w:w="55" w:type="dxa"/>
              <w:bottom w:w="55" w:type="dxa"/>
              <w:right w:w="55" w:type="dxa"/>
            </w:tcMar>
          </w:tcPr>
          <w:p w:rsidR="00D055B4" w:rsidRDefault="007023CB">
            <w:pPr>
              <w:pStyle w:val="TableContents"/>
              <w:jc w:val="center"/>
              <w:rPr>
                <w:rFonts w:ascii="Calibri" w:hAnsi="Calibri"/>
                <w:b/>
                <w:bCs/>
                <w:sz w:val="20"/>
              </w:rPr>
            </w:pPr>
            <w:r>
              <w:rPr>
                <w:rFonts w:ascii="Calibri" w:hAnsi="Calibri"/>
                <w:b/>
                <w:bCs/>
                <w:sz w:val="20"/>
              </w:rPr>
              <w:t>DENOMINACIÓN DE LA TAREA</w:t>
            </w:r>
          </w:p>
        </w:tc>
        <w:tc>
          <w:tcPr>
            <w:tcW w:w="2126" w:type="dxa"/>
            <w:tcBorders>
              <w:left w:val="single" w:sz="2" w:space="0" w:color="000000"/>
              <w:bottom w:val="single" w:sz="4"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20"/>
              </w:rPr>
            </w:pPr>
            <w:r>
              <w:rPr>
                <w:rFonts w:ascii="Calibri" w:hAnsi="Calibri"/>
                <w:b/>
                <w:bCs/>
                <w:sz w:val="20"/>
              </w:rPr>
              <w:t>FECHA DE INICIO</w:t>
            </w:r>
          </w:p>
          <w:p w:rsidR="00D055B4" w:rsidRDefault="007023CB">
            <w:pPr>
              <w:pStyle w:val="TableContents"/>
              <w:jc w:val="center"/>
              <w:rPr>
                <w:rFonts w:ascii="Calibri" w:hAnsi="Calibri"/>
                <w:b/>
                <w:bCs/>
                <w:sz w:val="20"/>
              </w:rPr>
            </w:pPr>
            <w:r>
              <w:rPr>
                <w:rFonts w:ascii="Calibri" w:hAnsi="Calibri"/>
                <w:b/>
                <w:bCs/>
                <w:sz w:val="20"/>
              </w:rPr>
              <w:t xml:space="preserve"> (mes-año)</w:t>
            </w:r>
          </w:p>
        </w:tc>
        <w:tc>
          <w:tcPr>
            <w:tcW w:w="2213" w:type="dxa"/>
            <w:tcBorders>
              <w:left w:val="single" w:sz="2" w:space="0" w:color="000000"/>
              <w:bottom w:val="single" w:sz="4" w:space="0" w:color="000000"/>
              <w:right w:val="single" w:sz="2" w:space="0" w:color="000000"/>
            </w:tcBorders>
            <w:shd w:val="clear" w:color="auto" w:fill="D9D9D9"/>
            <w:tcMar>
              <w:top w:w="0" w:type="dxa"/>
              <w:left w:w="10" w:type="dxa"/>
              <w:bottom w:w="0" w:type="dxa"/>
              <w:right w:w="10" w:type="dxa"/>
            </w:tcMar>
          </w:tcPr>
          <w:p w:rsidR="00D055B4" w:rsidRDefault="007023CB">
            <w:pPr>
              <w:pStyle w:val="TableContents"/>
              <w:jc w:val="center"/>
              <w:rPr>
                <w:rFonts w:ascii="Calibri" w:hAnsi="Calibri"/>
                <w:b/>
                <w:bCs/>
                <w:sz w:val="20"/>
              </w:rPr>
            </w:pPr>
            <w:r>
              <w:rPr>
                <w:rFonts w:ascii="Calibri" w:hAnsi="Calibri"/>
                <w:b/>
                <w:bCs/>
                <w:sz w:val="20"/>
              </w:rPr>
              <w:t>FECHA DE FINALIZACIÓN (mes-año)</w:t>
            </w:r>
          </w:p>
        </w:tc>
      </w:tr>
      <w:tr w:rsidR="00D055B4">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r>
      <w:tr w:rsidR="00D055B4">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r>
      <w:tr w:rsidR="00D055B4">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r>
      <w:tr w:rsidR="00D055B4">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r>
      <w:tr w:rsidR="00D055B4">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r>
      <w:tr w:rsidR="00D055B4">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055B4" w:rsidRDefault="00D055B4">
            <w:pPr>
              <w:pStyle w:val="TableContents"/>
              <w:jc w:val="both"/>
              <w:rPr>
                <w:rFonts w:ascii="Calibri" w:hAnsi="Calibr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55B4" w:rsidRDefault="00D055B4">
            <w:pPr>
              <w:pStyle w:val="TableContents"/>
              <w:jc w:val="both"/>
              <w:rPr>
                <w:rFonts w:ascii="Calibri" w:hAnsi="Calibri"/>
                <w:sz w:val="20"/>
              </w:rPr>
            </w:pPr>
          </w:p>
        </w:tc>
      </w:tr>
    </w:tbl>
    <w:p w:rsidR="00D055B4" w:rsidRDefault="00D055B4">
      <w:pPr>
        <w:pStyle w:val="Standard"/>
        <w:spacing w:after="198" w:line="276" w:lineRule="auto"/>
        <w:jc w:val="both"/>
        <w:rPr>
          <w:rFonts w:ascii="Calibri" w:hAnsi="Calibri"/>
          <w:sz w:val="22"/>
          <w:szCs w:val="22"/>
        </w:rPr>
      </w:pPr>
    </w:p>
    <w:tbl>
      <w:tblPr>
        <w:tblW w:w="9298" w:type="dxa"/>
        <w:tblLayout w:type="fixed"/>
        <w:tblCellMar>
          <w:left w:w="10" w:type="dxa"/>
          <w:right w:w="10" w:type="dxa"/>
        </w:tblCellMar>
        <w:tblLook w:val="0000" w:firstRow="0" w:lastRow="0" w:firstColumn="0" w:lastColumn="0" w:noHBand="0" w:noVBand="0"/>
      </w:tblPr>
      <w:tblGrid>
        <w:gridCol w:w="9298"/>
      </w:tblGrid>
      <w:tr w:rsidR="00D055B4">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D055B4" w:rsidRDefault="007023CB">
            <w:pPr>
              <w:pStyle w:val="TableContents"/>
              <w:jc w:val="both"/>
              <w:rPr>
                <w:rFonts w:ascii="Calibri" w:hAnsi="Calibri"/>
                <w:b/>
                <w:bCs/>
                <w:sz w:val="22"/>
                <w:szCs w:val="22"/>
              </w:rPr>
            </w:pPr>
            <w:r>
              <w:rPr>
                <w:rFonts w:ascii="Calibri" w:hAnsi="Calibri"/>
                <w:b/>
                <w:bCs/>
                <w:sz w:val="22"/>
                <w:szCs w:val="22"/>
              </w:rPr>
              <w:t>11.- IMPACTO ECONÓMICO, VERDE Y DIGITAL.</w:t>
            </w:r>
          </w:p>
        </w:tc>
      </w:tr>
      <w:tr w:rsidR="00D055B4">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D055B4" w:rsidRPr="00050DF9" w:rsidRDefault="007023CB">
            <w:pPr>
              <w:pStyle w:val="TableContents"/>
              <w:jc w:val="both"/>
              <w:rPr>
                <w:rFonts w:ascii="Calibri" w:hAnsi="Calibri"/>
                <w:i/>
                <w:iCs/>
                <w:color w:val="808080"/>
                <w:sz w:val="20"/>
              </w:rPr>
            </w:pPr>
            <w:r w:rsidRPr="00050DF9">
              <w:rPr>
                <w:rFonts w:ascii="Calibri" w:hAnsi="Calibri"/>
                <w:i/>
                <w:iCs/>
                <w:color w:val="808080"/>
                <w:sz w:val="20"/>
              </w:rPr>
              <w:t>Valore como se espera que el proyecto presentado contribuya eficazmente a la transición verde y digital (por favor, límite la extensión de cada campo a un máximo de 700 caracteres).</w:t>
            </w:r>
          </w:p>
        </w:tc>
      </w:tr>
      <w:tr w:rsidR="00D055B4">
        <w:tc>
          <w:tcPr>
            <w:tcW w:w="9298" w:type="dxa"/>
            <w:tcBorders>
              <w:left w:val="single" w:sz="2" w:space="0" w:color="000000"/>
              <w:bottom w:val="single" w:sz="4" w:space="0" w:color="000000"/>
              <w:right w:val="single" w:sz="2" w:space="0" w:color="000000"/>
            </w:tcBorders>
            <w:shd w:val="clear" w:color="auto" w:fill="D9D9D9"/>
            <w:tcMar>
              <w:top w:w="55" w:type="dxa"/>
              <w:left w:w="55" w:type="dxa"/>
              <w:bottom w:w="55" w:type="dxa"/>
              <w:right w:w="55" w:type="dxa"/>
            </w:tcMar>
          </w:tcPr>
          <w:p w:rsidR="00D055B4" w:rsidRDefault="007023CB">
            <w:pPr>
              <w:pStyle w:val="TableContents"/>
              <w:jc w:val="both"/>
              <w:rPr>
                <w:rFonts w:ascii="Calibri" w:hAnsi="Calibri"/>
                <w:b/>
                <w:bCs/>
                <w:sz w:val="20"/>
              </w:rPr>
            </w:pPr>
            <w:r>
              <w:rPr>
                <w:rFonts w:ascii="Calibri" w:hAnsi="Calibri"/>
                <w:b/>
                <w:bCs/>
                <w:sz w:val="20"/>
              </w:rPr>
              <w:t>IMPACTO VERDE (CAMBIO CLIMÁTICO Y OBJETIVOS MEDIOAMBIENTALES).</w:t>
            </w:r>
          </w:p>
        </w:tc>
      </w:tr>
      <w:tr w:rsidR="00D055B4">
        <w:trPr>
          <w:trHeight w:val="1701"/>
        </w:trPr>
        <w:tc>
          <w:tcPr>
            <w:tcW w:w="9298"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tc>
      </w:tr>
      <w:tr w:rsidR="00D055B4">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D055B4" w:rsidRDefault="007023CB">
            <w:pPr>
              <w:pStyle w:val="TableContents"/>
              <w:jc w:val="both"/>
            </w:pPr>
            <w:r>
              <w:rPr>
                <w:rFonts w:ascii="Calibri" w:hAnsi="Calibri"/>
                <w:b/>
                <w:bCs/>
                <w:sz w:val="20"/>
              </w:rPr>
              <w:t>IMPACTO DIGITAL</w:t>
            </w:r>
          </w:p>
        </w:tc>
      </w:tr>
      <w:tr w:rsidR="00D055B4">
        <w:trPr>
          <w:trHeight w:val="1701"/>
        </w:trPr>
        <w:tc>
          <w:tcPr>
            <w:tcW w:w="9298" w:type="dxa"/>
            <w:tcBorders>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p w:rsidR="00D055B4" w:rsidRDefault="00D055B4">
            <w:pPr>
              <w:pStyle w:val="TableContents"/>
              <w:jc w:val="both"/>
              <w:rPr>
                <w:rFonts w:ascii="Calibri" w:hAnsi="Calibri"/>
                <w:sz w:val="20"/>
              </w:rPr>
            </w:pPr>
          </w:p>
        </w:tc>
      </w:tr>
      <w:tr w:rsidR="00D055B4">
        <w:trPr>
          <w:trHeight w:val="262"/>
        </w:trPr>
        <w:tc>
          <w:tcPr>
            <w:tcW w:w="9298"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D055B4" w:rsidRDefault="007023CB">
            <w:pPr>
              <w:pStyle w:val="TableContents"/>
              <w:jc w:val="both"/>
              <w:rPr>
                <w:rFonts w:ascii="Calibri" w:hAnsi="Calibri"/>
                <w:b/>
                <w:sz w:val="20"/>
              </w:rPr>
            </w:pPr>
            <w:r>
              <w:rPr>
                <w:rFonts w:ascii="Calibri" w:hAnsi="Calibri"/>
                <w:b/>
                <w:sz w:val="20"/>
              </w:rPr>
              <w:t>IMPACTO SOBRE EL CRECIMIENTO ECONÓMICO Y EL EMPLEO</w:t>
            </w:r>
          </w:p>
        </w:tc>
      </w:tr>
      <w:tr w:rsidR="00D055B4">
        <w:trPr>
          <w:trHeight w:val="1701"/>
        </w:trPr>
        <w:tc>
          <w:tcPr>
            <w:tcW w:w="9298"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055B4" w:rsidRDefault="00D055B4">
            <w:pPr>
              <w:pStyle w:val="TableContents"/>
              <w:jc w:val="both"/>
              <w:rPr>
                <w:rFonts w:ascii="Calibri" w:hAnsi="Calibri"/>
                <w:sz w:val="20"/>
              </w:rPr>
            </w:pPr>
          </w:p>
        </w:tc>
      </w:tr>
    </w:tbl>
    <w:p w:rsidR="00D055B4" w:rsidRDefault="00D055B4">
      <w:pPr>
        <w:pStyle w:val="Prrafodelista"/>
        <w:spacing w:after="0"/>
        <w:ind w:left="0"/>
        <w:rPr>
          <w:sz w:val="18"/>
          <w:szCs w:val="18"/>
        </w:rPr>
      </w:pPr>
    </w:p>
    <w:p w:rsidR="00DA133F" w:rsidRPr="00196FAD" w:rsidRDefault="00DA133F">
      <w:pPr>
        <w:pStyle w:val="Prrafodelista"/>
        <w:spacing w:after="0"/>
        <w:ind w:left="0"/>
        <w:rPr>
          <w:sz w:val="18"/>
          <w:szCs w:val="18"/>
        </w:rPr>
      </w:pPr>
    </w:p>
    <w:p w:rsidR="00D055B4" w:rsidRDefault="007023CB">
      <w:pPr>
        <w:pStyle w:val="Prrafodelista"/>
        <w:spacing w:after="0"/>
        <w:ind w:left="0"/>
        <w:rPr>
          <w:sz w:val="18"/>
          <w:szCs w:val="18"/>
        </w:rPr>
      </w:pPr>
      <w:r>
        <w:rPr>
          <w:sz w:val="18"/>
          <w:szCs w:val="18"/>
        </w:rPr>
        <w:t>Persona de contacto:</w:t>
      </w:r>
    </w:p>
    <w:p w:rsidR="00D055B4" w:rsidRDefault="00D055B4">
      <w:pPr>
        <w:pStyle w:val="Prrafodelista"/>
        <w:spacing w:after="0"/>
        <w:ind w:left="0"/>
        <w:rPr>
          <w:sz w:val="18"/>
          <w:szCs w:val="18"/>
        </w:rPr>
      </w:pPr>
    </w:p>
    <w:tbl>
      <w:tblPr>
        <w:tblW w:w="8755" w:type="dxa"/>
        <w:tblInd w:w="-113" w:type="dxa"/>
        <w:tblLayout w:type="fixed"/>
        <w:tblCellMar>
          <w:left w:w="10" w:type="dxa"/>
          <w:right w:w="10" w:type="dxa"/>
        </w:tblCellMar>
        <w:tblLook w:val="0000" w:firstRow="0" w:lastRow="0" w:firstColumn="0" w:lastColumn="0" w:noHBand="0" w:noVBand="0"/>
      </w:tblPr>
      <w:tblGrid>
        <w:gridCol w:w="1734"/>
        <w:gridCol w:w="7021"/>
      </w:tblGrid>
      <w:tr w:rsidR="00D055B4">
        <w:trPr>
          <w:trHeight w:val="144"/>
        </w:trPr>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D055B4" w:rsidRDefault="007023CB">
            <w:pPr>
              <w:pStyle w:val="Prrafodelista"/>
              <w:spacing w:after="120" w:line="240" w:lineRule="auto"/>
              <w:ind w:left="0"/>
              <w:jc w:val="center"/>
              <w:textAlignment w:val="center"/>
              <w:rPr>
                <w:b/>
                <w:bCs/>
                <w:sz w:val="18"/>
                <w:szCs w:val="18"/>
              </w:rPr>
            </w:pPr>
            <w:r>
              <w:rPr>
                <w:b/>
                <w:bCs/>
                <w:sz w:val="18"/>
                <w:szCs w:val="18"/>
              </w:rPr>
              <w:t>Nombre:</w:t>
            </w:r>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D055B4" w:rsidRDefault="00D055B4">
            <w:pPr>
              <w:pStyle w:val="Prrafodelista"/>
              <w:snapToGrid w:val="0"/>
              <w:spacing w:after="120" w:line="240" w:lineRule="auto"/>
              <w:textAlignment w:val="center"/>
              <w:rPr>
                <w:sz w:val="18"/>
                <w:szCs w:val="18"/>
              </w:rPr>
            </w:pPr>
          </w:p>
        </w:tc>
      </w:tr>
    </w:tbl>
    <w:p w:rsidR="00D055B4" w:rsidRDefault="00D055B4">
      <w:pPr>
        <w:pStyle w:val="Prrafodelista"/>
        <w:spacing w:after="120" w:line="240" w:lineRule="auto"/>
        <w:textAlignment w:val="center"/>
        <w:rPr>
          <w:sz w:val="18"/>
          <w:szCs w:val="18"/>
        </w:rPr>
      </w:pPr>
    </w:p>
    <w:tbl>
      <w:tblPr>
        <w:tblW w:w="8734" w:type="dxa"/>
        <w:tblInd w:w="-92" w:type="dxa"/>
        <w:tblLayout w:type="fixed"/>
        <w:tblCellMar>
          <w:left w:w="10" w:type="dxa"/>
          <w:right w:w="10" w:type="dxa"/>
        </w:tblCellMar>
        <w:tblLook w:val="0000" w:firstRow="0" w:lastRow="0" w:firstColumn="0" w:lastColumn="0" w:noHBand="0" w:noVBand="0"/>
      </w:tblPr>
      <w:tblGrid>
        <w:gridCol w:w="1704"/>
        <w:gridCol w:w="7030"/>
      </w:tblGrid>
      <w:tr w:rsidR="00D055B4">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D055B4" w:rsidRDefault="007023CB">
            <w:pPr>
              <w:pStyle w:val="Prrafodelista"/>
              <w:spacing w:after="120" w:line="240" w:lineRule="auto"/>
              <w:ind w:left="0"/>
              <w:jc w:val="center"/>
              <w:textAlignment w:val="center"/>
              <w:rPr>
                <w:b/>
                <w:bCs/>
                <w:sz w:val="18"/>
                <w:szCs w:val="18"/>
              </w:rPr>
            </w:pPr>
            <w:r>
              <w:rPr>
                <w:b/>
                <w:bCs/>
                <w:sz w:val="18"/>
                <w:szCs w:val="18"/>
              </w:rPr>
              <w:t>Teléfono:</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D055B4" w:rsidRDefault="00D055B4">
            <w:pPr>
              <w:pStyle w:val="Prrafodelista"/>
              <w:snapToGrid w:val="0"/>
              <w:spacing w:after="120" w:line="240" w:lineRule="auto"/>
              <w:textAlignment w:val="center"/>
              <w:rPr>
                <w:sz w:val="18"/>
                <w:szCs w:val="18"/>
              </w:rPr>
            </w:pPr>
          </w:p>
        </w:tc>
      </w:tr>
    </w:tbl>
    <w:p w:rsidR="00D055B4" w:rsidRDefault="00D055B4">
      <w:pPr>
        <w:pStyle w:val="Prrafodelista"/>
        <w:spacing w:after="120" w:line="240" w:lineRule="auto"/>
        <w:textAlignment w:val="center"/>
        <w:rPr>
          <w:sz w:val="18"/>
          <w:szCs w:val="18"/>
        </w:rPr>
      </w:pPr>
    </w:p>
    <w:tbl>
      <w:tblPr>
        <w:tblW w:w="8755" w:type="dxa"/>
        <w:tblInd w:w="-113" w:type="dxa"/>
        <w:tblLayout w:type="fixed"/>
        <w:tblCellMar>
          <w:left w:w="10" w:type="dxa"/>
          <w:right w:w="10" w:type="dxa"/>
        </w:tblCellMar>
        <w:tblLook w:val="0000" w:firstRow="0" w:lastRow="0" w:firstColumn="0" w:lastColumn="0" w:noHBand="0" w:noVBand="0"/>
      </w:tblPr>
      <w:tblGrid>
        <w:gridCol w:w="1758"/>
        <w:gridCol w:w="6997"/>
      </w:tblGrid>
      <w:tr w:rsidR="00D055B4">
        <w:tc>
          <w:tcPr>
            <w:tcW w:w="1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D055B4" w:rsidRDefault="007023CB">
            <w:pPr>
              <w:pStyle w:val="Prrafodelista"/>
              <w:spacing w:after="120" w:line="240" w:lineRule="auto"/>
              <w:ind w:left="0"/>
              <w:jc w:val="center"/>
              <w:textAlignment w:val="center"/>
              <w:rPr>
                <w:b/>
                <w:bCs/>
                <w:sz w:val="18"/>
                <w:szCs w:val="18"/>
              </w:rPr>
            </w:pPr>
            <w:r>
              <w:rPr>
                <w:b/>
                <w:bCs/>
                <w:sz w:val="18"/>
                <w:szCs w:val="18"/>
              </w:rPr>
              <w:t>Correo electrónico:</w:t>
            </w:r>
          </w:p>
        </w:tc>
        <w:tc>
          <w:tcPr>
            <w:tcW w:w="69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D055B4" w:rsidRDefault="00D055B4">
            <w:pPr>
              <w:pStyle w:val="Prrafodelista"/>
              <w:snapToGrid w:val="0"/>
              <w:spacing w:after="120" w:line="240" w:lineRule="auto"/>
              <w:textAlignment w:val="center"/>
              <w:rPr>
                <w:sz w:val="18"/>
                <w:szCs w:val="18"/>
              </w:rPr>
            </w:pPr>
          </w:p>
        </w:tc>
      </w:tr>
    </w:tbl>
    <w:p w:rsidR="00D055B4" w:rsidRDefault="00D055B4">
      <w:pPr>
        <w:pStyle w:val="Standard"/>
        <w:tabs>
          <w:tab w:val="left" w:pos="5339"/>
        </w:tabs>
        <w:textAlignment w:val="center"/>
        <w:rPr>
          <w:sz w:val="18"/>
          <w:szCs w:val="18"/>
        </w:rPr>
      </w:pPr>
    </w:p>
    <w:tbl>
      <w:tblPr>
        <w:tblW w:w="8755" w:type="dxa"/>
        <w:tblInd w:w="-113" w:type="dxa"/>
        <w:tblLayout w:type="fixed"/>
        <w:tblCellMar>
          <w:left w:w="10" w:type="dxa"/>
          <w:right w:w="10" w:type="dxa"/>
        </w:tblCellMar>
        <w:tblLook w:val="0000" w:firstRow="0" w:lastRow="0" w:firstColumn="0" w:lastColumn="0" w:noHBand="0" w:noVBand="0"/>
      </w:tblPr>
      <w:tblGrid>
        <w:gridCol w:w="1758"/>
        <w:gridCol w:w="6997"/>
      </w:tblGrid>
      <w:tr w:rsidR="00D055B4">
        <w:trPr>
          <w:trHeight w:val="368"/>
        </w:trPr>
        <w:tc>
          <w:tcPr>
            <w:tcW w:w="1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D055B4" w:rsidRDefault="007023CB">
            <w:pPr>
              <w:pStyle w:val="Standard"/>
              <w:jc w:val="center"/>
              <w:textAlignment w:val="center"/>
            </w:pPr>
            <w:r>
              <w:rPr>
                <w:rFonts w:ascii="Calibri" w:hAnsi="Calibri"/>
                <w:b/>
                <w:bCs/>
                <w:sz w:val="18"/>
                <w:szCs w:val="18"/>
              </w:rPr>
              <w:t>Fecha</w:t>
            </w:r>
            <w:r>
              <w:rPr>
                <w:b/>
                <w:bCs/>
                <w:sz w:val="18"/>
                <w:szCs w:val="18"/>
              </w:rPr>
              <w:t>:</w:t>
            </w:r>
          </w:p>
        </w:tc>
        <w:tc>
          <w:tcPr>
            <w:tcW w:w="69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D055B4" w:rsidRDefault="00D055B4">
            <w:pPr>
              <w:pStyle w:val="Ttulo1"/>
              <w:ind w:left="432" w:right="0"/>
              <w:textAlignment w:val="center"/>
              <w:rPr>
                <w:rFonts w:ascii="Times New Roman" w:hAnsi="Times New Roman"/>
                <w:b/>
                <w:sz w:val="18"/>
                <w:szCs w:val="18"/>
              </w:rPr>
            </w:pPr>
          </w:p>
        </w:tc>
      </w:tr>
    </w:tbl>
    <w:p w:rsidR="00D055B4" w:rsidRDefault="00D055B4">
      <w:pPr>
        <w:pStyle w:val="Standard"/>
        <w:spacing w:after="198" w:line="276" w:lineRule="auto"/>
        <w:jc w:val="both"/>
        <w:rPr>
          <w:rFonts w:ascii="Calibri" w:hAnsi="Calibri"/>
          <w:i/>
          <w:iCs/>
          <w:sz w:val="18"/>
          <w:szCs w:val="18"/>
        </w:rPr>
      </w:pPr>
    </w:p>
    <w:p w:rsidR="00D055B4" w:rsidRDefault="00D055B4">
      <w:pPr>
        <w:tabs>
          <w:tab w:val="left" w:pos="2208"/>
        </w:tabs>
      </w:pPr>
    </w:p>
    <w:p w:rsidR="002F0E77" w:rsidRPr="002F0E77" w:rsidRDefault="002F0E77" w:rsidP="002F0E77">
      <w:pPr>
        <w:tabs>
          <w:tab w:val="left" w:pos="2208"/>
        </w:tabs>
        <w:jc w:val="center"/>
        <w:rPr>
          <w:rFonts w:asciiTheme="minorHAnsi" w:hAnsiTheme="minorHAnsi" w:cstheme="minorHAnsi"/>
          <w:b/>
          <w:bCs/>
        </w:rPr>
      </w:pPr>
      <w:r w:rsidRPr="002F0E77">
        <w:rPr>
          <w:rFonts w:asciiTheme="minorHAnsi" w:hAnsiTheme="minorHAnsi" w:cstheme="minorHAnsi"/>
          <w:b/>
          <w:bCs/>
        </w:rPr>
        <w:lastRenderedPageBreak/>
        <w:t>ANEXO 1 – DESCRIPCIÓN DE LAS ÁREAS DE TRABAJO</w:t>
      </w:r>
    </w:p>
    <w:p w:rsidR="002F0E77" w:rsidRDefault="002F0E77">
      <w:pPr>
        <w:tabs>
          <w:tab w:val="left" w:pos="2208"/>
        </w:tabs>
      </w:pPr>
    </w:p>
    <w:p w:rsidR="002F0E77" w:rsidRDefault="002F0E77" w:rsidP="002F0E77">
      <w:pPr>
        <w:pStyle w:val="Standard"/>
        <w:numPr>
          <w:ilvl w:val="0"/>
          <w:numId w:val="8"/>
        </w:numPr>
        <w:spacing w:after="198" w:line="276" w:lineRule="auto"/>
        <w:jc w:val="both"/>
        <w:rPr>
          <w:rFonts w:ascii="Calibri" w:hAnsi="Calibri"/>
          <w:sz w:val="22"/>
          <w:szCs w:val="22"/>
        </w:rPr>
      </w:pPr>
      <w:r w:rsidRPr="006E358D">
        <w:rPr>
          <w:rFonts w:ascii="Calibri" w:hAnsi="Calibri"/>
          <w:b/>
          <w:bCs/>
          <w:sz w:val="22"/>
          <w:szCs w:val="22"/>
        </w:rPr>
        <w:t>Activación</w:t>
      </w:r>
      <w:r w:rsidRPr="006E358D">
        <w:rPr>
          <w:rFonts w:ascii="Calibri" w:hAnsi="Calibri"/>
          <w:sz w:val="22"/>
          <w:szCs w:val="22"/>
        </w:rPr>
        <w:t>: debe adelantarse el desarrollo de tecnologías limpias con perspectivas de futuro y acelerarse el desarrollo y el uso de energías renovables, así como su integración a través de redes modernizadas y una mayor interconectividad. La iniciativa emblemática sentará las bases de los mercados pioneros del hidrógeno en Europa y de las infraestructuras conexas. Pretende apoyar la construcción y la integración sectorial de casi el 40 % de los 500 GW de generación de energía renovable necesarios para 2030, contribuir a la instalación de 6 GW de capacidad de electrolizadores y la producción y transporte de 1 millón de toneladas de hidrógeno renovable en toda la UE de aquí a 2025.</w:t>
      </w:r>
    </w:p>
    <w:p w:rsidR="002F0E77" w:rsidRDefault="002F0E77" w:rsidP="002F0E77">
      <w:pPr>
        <w:pStyle w:val="Standard"/>
        <w:numPr>
          <w:ilvl w:val="0"/>
          <w:numId w:val="8"/>
        </w:numPr>
        <w:spacing w:after="198" w:line="276" w:lineRule="auto"/>
        <w:jc w:val="both"/>
        <w:rPr>
          <w:rFonts w:ascii="Calibri" w:hAnsi="Calibri"/>
          <w:sz w:val="22"/>
          <w:szCs w:val="22"/>
        </w:rPr>
      </w:pPr>
      <w:r w:rsidRPr="00927CB6">
        <w:rPr>
          <w:rFonts w:ascii="Calibri" w:hAnsi="Calibri"/>
          <w:b/>
          <w:bCs/>
          <w:sz w:val="22"/>
          <w:szCs w:val="22"/>
        </w:rPr>
        <w:t>Renovación:</w:t>
      </w:r>
      <w:r w:rsidRPr="006E358D">
        <w:rPr>
          <w:rFonts w:ascii="Calibri" w:hAnsi="Calibri"/>
          <w:sz w:val="22"/>
          <w:szCs w:val="22"/>
        </w:rPr>
        <w:t xml:space="preserve"> mejorar la eficiencia energética y la utilización eficiente de recursos de los edificios públicos y privados contribuirá sustancialmente a la consecución de los objetivos climáticos de la UE, creará un gran número de puestos de trabajo locales en todos los Estados miembros y fomentará el desarrollo digital a través de entornos de vida y sistemas de medición inteligentes. De aquí a 2025, contribuirá a duplicar el índice de renovación y a fomentar la renovación en profundidad.</w:t>
      </w:r>
    </w:p>
    <w:p w:rsidR="002F0E77" w:rsidRDefault="002F0E77" w:rsidP="002F0E77">
      <w:pPr>
        <w:pStyle w:val="Standard"/>
        <w:numPr>
          <w:ilvl w:val="0"/>
          <w:numId w:val="8"/>
        </w:numPr>
        <w:spacing w:after="198" w:line="276" w:lineRule="auto"/>
        <w:jc w:val="both"/>
        <w:rPr>
          <w:rFonts w:ascii="Calibri" w:hAnsi="Calibri"/>
          <w:sz w:val="22"/>
          <w:szCs w:val="22"/>
        </w:rPr>
      </w:pPr>
      <w:r w:rsidRPr="006E358D">
        <w:rPr>
          <w:rFonts w:ascii="Calibri" w:hAnsi="Calibri"/>
          <w:b/>
          <w:bCs/>
          <w:sz w:val="22"/>
          <w:szCs w:val="22"/>
        </w:rPr>
        <w:t>Recarga y repostaje:</w:t>
      </w:r>
      <w:r w:rsidRPr="006E358D">
        <w:rPr>
          <w:rFonts w:ascii="Calibri" w:hAnsi="Calibri"/>
          <w:sz w:val="22"/>
          <w:szCs w:val="22"/>
        </w:rPr>
        <w:t xml:space="preserve"> promover las tecnologías limpias con perspectivas de futuro para acelerar el uso del transporte sostenible, accesible e inteligente, las estaciones de recarga y repostaje y la ampliación del transporte público hará que las ciudades y regiones europeas sean más limpias, acelerará la transición industrial y contribuirá a alcanzar los objetivos climáticos de París. Para 2025, la iniciativa emblemática tendrá como objetivo construir un millón del total de tres millones de puntos de recarga necesarios en 2030 y la mitad de las 1 000 estaciones de hidrógeno necesarias.</w:t>
      </w:r>
    </w:p>
    <w:p w:rsidR="002F0E77" w:rsidRDefault="002F0E77" w:rsidP="002F0E77">
      <w:pPr>
        <w:pStyle w:val="Standard"/>
        <w:numPr>
          <w:ilvl w:val="0"/>
          <w:numId w:val="8"/>
        </w:numPr>
        <w:spacing w:after="198" w:line="276" w:lineRule="auto"/>
        <w:jc w:val="both"/>
        <w:rPr>
          <w:rFonts w:ascii="Calibri" w:hAnsi="Calibri"/>
          <w:sz w:val="22"/>
          <w:szCs w:val="22"/>
        </w:rPr>
      </w:pPr>
      <w:r w:rsidRPr="006E358D">
        <w:rPr>
          <w:rFonts w:ascii="Calibri" w:hAnsi="Calibri"/>
          <w:b/>
          <w:bCs/>
          <w:sz w:val="22"/>
          <w:szCs w:val="22"/>
        </w:rPr>
        <w:t>Conexión:</w:t>
      </w:r>
      <w:r w:rsidRPr="006E358D">
        <w:rPr>
          <w:rFonts w:ascii="Calibri" w:hAnsi="Calibri"/>
          <w:sz w:val="22"/>
          <w:szCs w:val="22"/>
        </w:rPr>
        <w:t xml:space="preserve"> los ciudadanos y las empresas de Europa deben tener acceso a servicios de banda ancha rápida. En la actualidad, solo el 44 % de los hogares tiene acceso a redes de muy alta capacidad, capaces de proporcionar al menos conectividad de gigabit, con una cobertura significativamente reducida en las zonas rurales. El despliegue acelerado de servicios de banda ancha rápida a todas las regiones y hogares, incluidas las redes de fibra y 5G, así como el desarrollo de la comunicación de criptografía cuántica, serán esenciales para garantizar la cobertura territorial más amplia posible en las zonas no cubiertas por el mercado, preservando al mismo tiempo la autonomía estratégica abierta de la UE. Aunque se espera que las zonas urbanas y las principales vías de transporte terrestre queden cubiertas más rápidamente mediante la financiación privada, el Mecanismo de Recuperación y Resiliencia debe garantizar que para 2025 exista la cobertura 5G ininterrumpida más amplia posible.</w:t>
      </w:r>
    </w:p>
    <w:p w:rsidR="002F0E77" w:rsidRDefault="002F0E77" w:rsidP="002F0E77">
      <w:pPr>
        <w:pStyle w:val="Standard"/>
        <w:numPr>
          <w:ilvl w:val="0"/>
          <w:numId w:val="8"/>
        </w:numPr>
        <w:spacing w:after="198" w:line="276" w:lineRule="auto"/>
        <w:jc w:val="both"/>
        <w:rPr>
          <w:rFonts w:ascii="Calibri" w:hAnsi="Calibri"/>
          <w:sz w:val="22"/>
          <w:szCs w:val="22"/>
        </w:rPr>
      </w:pPr>
      <w:r w:rsidRPr="006E358D">
        <w:rPr>
          <w:rFonts w:ascii="Calibri" w:hAnsi="Calibri"/>
          <w:b/>
          <w:bCs/>
          <w:sz w:val="22"/>
          <w:szCs w:val="22"/>
        </w:rPr>
        <w:t>Modernización:</w:t>
      </w:r>
      <w:r w:rsidRPr="006E358D">
        <w:rPr>
          <w:rFonts w:ascii="Calibri" w:hAnsi="Calibri"/>
          <w:sz w:val="22"/>
          <w:szCs w:val="22"/>
        </w:rPr>
        <w:t xml:space="preserve"> es preciso que la identificación de la UE y los servicios públicos digitales clave se modernicen y sean accesibles para todos. La identificación y autenticación electrónicas seguras y a escala de la UE en relación con las Administraciones públicas y los agentes privados y el acceso a sus servicios ofrecerán a los ciudadanos el control sobre su identidad y datos en línea y permitirán el acceso a los servicios digitales en línea. La digitalización de la Administración y los servicios públicos aumentará la eficacia de ambos. También afectará </w:t>
      </w:r>
      <w:r w:rsidRPr="006E358D">
        <w:rPr>
          <w:rFonts w:ascii="Calibri" w:hAnsi="Calibri"/>
          <w:sz w:val="22"/>
          <w:szCs w:val="22"/>
        </w:rPr>
        <w:lastRenderedPageBreak/>
        <w:t>positivamente a los sistemas judicial y sanitario. A más tardar en 2025, los Estados miembros deben garantizar la provisión de una identidad digital europea (e-ID) y las Administraciones públicas deben ofrecer servicios públicos digitales interoperables, personalizados y de fácil utilización.</w:t>
      </w:r>
    </w:p>
    <w:p w:rsidR="002F0E77" w:rsidRDefault="002F0E77" w:rsidP="002F0E77">
      <w:pPr>
        <w:pStyle w:val="Standard"/>
        <w:numPr>
          <w:ilvl w:val="0"/>
          <w:numId w:val="8"/>
        </w:numPr>
        <w:spacing w:after="198" w:line="276" w:lineRule="auto"/>
        <w:jc w:val="both"/>
        <w:rPr>
          <w:rFonts w:ascii="Calibri" w:hAnsi="Calibri"/>
          <w:sz w:val="22"/>
          <w:szCs w:val="22"/>
        </w:rPr>
      </w:pPr>
      <w:r>
        <w:rPr>
          <w:rFonts w:ascii="Calibri" w:hAnsi="Calibri"/>
          <w:b/>
          <w:bCs/>
          <w:sz w:val="22"/>
          <w:szCs w:val="22"/>
        </w:rPr>
        <w:t>Expansión</w:t>
      </w:r>
      <w:r w:rsidRPr="006E358D">
        <w:rPr>
          <w:rFonts w:ascii="Calibri" w:hAnsi="Calibri"/>
          <w:b/>
          <w:bCs/>
          <w:sz w:val="22"/>
          <w:szCs w:val="22"/>
        </w:rPr>
        <w:t xml:space="preserve">: </w:t>
      </w:r>
      <w:r w:rsidRPr="006E358D">
        <w:rPr>
          <w:rFonts w:ascii="Calibri" w:hAnsi="Calibri"/>
          <w:sz w:val="22"/>
          <w:szCs w:val="22"/>
        </w:rPr>
        <w:t xml:space="preserve">la transición digital de la UE depende del aumento de sus capacidades de datos para fines industriales en la nube y de la capacidad de desarrollar los procesadores más potentes, vanguardistas y sostenibles. Para 2025, la iniciativa emblemática tendrá como objetivo duplicar la producción de semiconductores en Europa, hasta fabricar procesadores diez veces más eficientes desde el punto de vista energético. Ello permite, por ejemplo, la rápida asimilación de vehículos conectados y la duplicación del porcentaje de empresas de la UE que utilizan servicios avanzados en la nube y </w:t>
      </w:r>
      <w:proofErr w:type="spellStart"/>
      <w:r w:rsidRPr="006E358D">
        <w:rPr>
          <w:rFonts w:ascii="Calibri" w:hAnsi="Calibri"/>
          <w:sz w:val="22"/>
          <w:szCs w:val="22"/>
        </w:rPr>
        <w:t>macrodatos</w:t>
      </w:r>
      <w:proofErr w:type="spellEnd"/>
      <w:r w:rsidRPr="006E358D">
        <w:rPr>
          <w:rFonts w:ascii="Calibri" w:hAnsi="Calibri"/>
          <w:sz w:val="22"/>
          <w:szCs w:val="22"/>
        </w:rPr>
        <w:t xml:space="preserve"> (desde el 16 % actual).</w:t>
      </w:r>
    </w:p>
    <w:p w:rsidR="002F0E77" w:rsidRDefault="002F0E77" w:rsidP="002F0E77">
      <w:pPr>
        <w:pStyle w:val="Standard"/>
        <w:numPr>
          <w:ilvl w:val="0"/>
          <w:numId w:val="8"/>
        </w:numPr>
        <w:spacing w:after="198" w:line="276" w:lineRule="auto"/>
        <w:jc w:val="both"/>
        <w:rPr>
          <w:rFonts w:ascii="Calibri" w:hAnsi="Calibri"/>
          <w:sz w:val="22"/>
          <w:szCs w:val="22"/>
        </w:rPr>
      </w:pPr>
      <w:r w:rsidRPr="006E358D">
        <w:rPr>
          <w:rFonts w:ascii="Calibri" w:hAnsi="Calibri"/>
          <w:b/>
          <w:bCs/>
          <w:sz w:val="22"/>
          <w:szCs w:val="22"/>
        </w:rPr>
        <w:t>Reciclaje y Perfeccionamiento Profesional:</w:t>
      </w:r>
      <w:r w:rsidRPr="006E358D">
        <w:rPr>
          <w:rFonts w:ascii="Calibri" w:hAnsi="Calibri"/>
          <w:sz w:val="22"/>
          <w:szCs w:val="22"/>
        </w:rPr>
        <w:t xml:space="preserve"> realizar inversiones sin precedentes en el reciclaje y perfeccionamiento profesional es esencial para contribuir a las transiciones ecológica y digital, mejorar la innovación y el potencial de crecimiento, fomentar la resiliencia económica y social y garantizar un empleo de calidad y la inclusión social. Las inversiones y reformas deben centrarse en las competencias digitales y en la educación y la formación profesional para todas las edades. En 2019, el 42 % de los europeos aún carecía de las competencias digitales más básicas. De aquí a 2025, la proporción de europeos de entre 16 y 74 años con competencias digitales básicas debería aumentar hasta alcanzar el 70 %. Los sistemas educativos deben adaptarse en mayor medida a los retos del siglo XXI. Los Estados miembros deben garantizar una mejora significativa de la competencia digital de los alumnos, con el fin de reducir a menos del 15 % el porcentaje de estudiantes de 13 y 14 </w:t>
      </w:r>
      <w:proofErr w:type="gramStart"/>
      <w:r w:rsidRPr="006E358D">
        <w:rPr>
          <w:rFonts w:ascii="Calibri" w:hAnsi="Calibri"/>
          <w:sz w:val="22"/>
          <w:szCs w:val="22"/>
        </w:rPr>
        <w:t>años de edad</w:t>
      </w:r>
      <w:proofErr w:type="gramEnd"/>
      <w:r w:rsidRPr="006E358D">
        <w:rPr>
          <w:rFonts w:ascii="Calibri" w:hAnsi="Calibri"/>
          <w:sz w:val="22"/>
          <w:szCs w:val="22"/>
        </w:rPr>
        <w:t xml:space="preserve"> con un nivel insuficiente de alfabetización informática e informacional. Los Estados miembros deben prestar especial atención a los grupos desfavorecidos, a las mujeres y, en particular, a los jóvenes que acceden al mercado laboral, creando oportunidades de empleo de calidad, apoyando una oferta adecuada de prácticas profesionales/formación en centros de trabajo y reforzando la educación y la formación profesionales (EFP). Para 2025, al menos cuatro de cada cinco graduados en EFP deberían estar empleados y tres de cada cinco deberían beneficiarse de formación en el puesto de trabajo.</w:t>
      </w:r>
    </w:p>
    <w:p w:rsidR="002F0E77" w:rsidRDefault="002F0E77" w:rsidP="002F0E77">
      <w:pPr>
        <w:pStyle w:val="Standard"/>
        <w:spacing w:line="276" w:lineRule="auto"/>
        <w:ind w:left="284"/>
        <w:jc w:val="both"/>
        <w:rPr>
          <w:rFonts w:ascii="Calibri" w:hAnsi="Calibri"/>
          <w:b/>
          <w:bCs/>
          <w:sz w:val="22"/>
          <w:szCs w:val="22"/>
        </w:rPr>
      </w:pPr>
      <w:r>
        <w:rPr>
          <w:rFonts w:ascii="Calibri" w:hAnsi="Calibri"/>
          <w:b/>
          <w:bCs/>
          <w:sz w:val="22"/>
          <w:szCs w:val="22"/>
        </w:rPr>
        <w:t>7+1.</w:t>
      </w:r>
      <w:r>
        <w:rPr>
          <w:rFonts w:ascii="Calibri" w:hAnsi="Calibri"/>
          <w:sz w:val="22"/>
          <w:szCs w:val="22"/>
        </w:rPr>
        <w:t xml:space="preserve">       </w:t>
      </w:r>
      <w:r w:rsidRPr="00C57AED">
        <w:rPr>
          <w:rFonts w:ascii="Calibri" w:hAnsi="Calibri"/>
          <w:b/>
          <w:bCs/>
          <w:sz w:val="22"/>
          <w:szCs w:val="22"/>
        </w:rPr>
        <w:t>Simplificación administrativa:</w:t>
      </w:r>
      <w:r>
        <w:rPr>
          <w:rFonts w:ascii="Calibri" w:hAnsi="Calibri"/>
          <w:sz w:val="22"/>
          <w:szCs w:val="22"/>
        </w:rPr>
        <w:t xml:space="preserve"> </w:t>
      </w:r>
      <w:r w:rsidRPr="00315768">
        <w:rPr>
          <w:rFonts w:ascii="Calibri" w:hAnsi="Calibri"/>
          <w:sz w:val="22"/>
          <w:szCs w:val="22"/>
        </w:rPr>
        <w:t xml:space="preserve">El </w:t>
      </w:r>
      <w:hyperlink r:id="rId7" w:history="1">
        <w:r w:rsidRPr="00315768">
          <w:rPr>
            <w:rStyle w:val="Hipervnculo"/>
            <w:rFonts w:ascii="Calibri" w:hAnsi="Calibri"/>
            <w:sz w:val="22"/>
            <w:szCs w:val="22"/>
          </w:rPr>
          <w:t>Presidente del Gobierno</w:t>
        </w:r>
      </w:hyperlink>
      <w:r w:rsidRPr="00315768">
        <w:rPr>
          <w:rFonts w:ascii="Calibri" w:hAnsi="Calibri"/>
          <w:sz w:val="22"/>
          <w:szCs w:val="22"/>
        </w:rPr>
        <w:t xml:space="preserve"> anunció el 03/10/2020 que se </w:t>
      </w:r>
      <w:r>
        <w:rPr>
          <w:rFonts w:ascii="Calibri" w:hAnsi="Calibri"/>
          <w:sz w:val="22"/>
          <w:szCs w:val="22"/>
        </w:rPr>
        <w:tab/>
      </w:r>
      <w:r>
        <w:rPr>
          <w:rFonts w:ascii="Calibri" w:hAnsi="Calibri"/>
          <w:sz w:val="22"/>
          <w:szCs w:val="22"/>
        </w:rPr>
        <w:tab/>
        <w:t xml:space="preserve">       </w:t>
      </w:r>
      <w:r w:rsidRPr="00315768">
        <w:rPr>
          <w:rFonts w:ascii="Calibri" w:hAnsi="Calibri"/>
          <w:sz w:val="22"/>
          <w:szCs w:val="22"/>
        </w:rPr>
        <w:t xml:space="preserve">aprobará un Real Decreto Ley que </w:t>
      </w:r>
      <w:r w:rsidRPr="00315768">
        <w:rPr>
          <w:rFonts w:ascii="Calibri" w:hAnsi="Calibri"/>
          <w:b/>
          <w:bCs/>
          <w:sz w:val="22"/>
          <w:szCs w:val="22"/>
        </w:rPr>
        <w:t xml:space="preserve">eliminará las principales barreras legales y </w:t>
      </w:r>
      <w:r>
        <w:rPr>
          <w:rFonts w:ascii="Calibri" w:hAnsi="Calibri"/>
          <w:b/>
          <w:bCs/>
          <w:sz w:val="22"/>
          <w:szCs w:val="22"/>
        </w:rPr>
        <w:t xml:space="preserve"> </w:t>
      </w:r>
      <w:proofErr w:type="spellStart"/>
      <w:r>
        <w:rPr>
          <w:rFonts w:ascii="Calibri" w:hAnsi="Calibri"/>
          <w:b/>
          <w:bCs/>
          <w:sz w:val="22"/>
          <w:szCs w:val="22"/>
        </w:rPr>
        <w:t>admvas</w:t>
      </w:r>
      <w:proofErr w:type="spellEnd"/>
      <w:r>
        <w:rPr>
          <w:rFonts w:ascii="Calibri" w:hAnsi="Calibri"/>
          <w:b/>
          <w:bCs/>
          <w:sz w:val="22"/>
          <w:szCs w:val="22"/>
        </w:rPr>
        <w:t xml:space="preserve">. </w:t>
      </w:r>
      <w:r w:rsidRPr="00315768">
        <w:rPr>
          <w:rFonts w:ascii="Calibri" w:hAnsi="Calibri"/>
          <w:sz w:val="22"/>
          <w:szCs w:val="22"/>
        </w:rPr>
        <w:t>Pa</w:t>
      </w:r>
      <w:r>
        <w:rPr>
          <w:rFonts w:ascii="Calibri" w:hAnsi="Calibri"/>
          <w:sz w:val="22"/>
          <w:szCs w:val="22"/>
        </w:rPr>
        <w:t>ra</w:t>
      </w:r>
      <w:r>
        <w:rPr>
          <w:rFonts w:ascii="Calibri" w:hAnsi="Calibri"/>
          <w:b/>
          <w:bCs/>
          <w:sz w:val="22"/>
          <w:szCs w:val="22"/>
        </w:rPr>
        <w:t xml:space="preserve">  </w:t>
      </w:r>
    </w:p>
    <w:p w:rsidR="002F0E77" w:rsidRPr="00315768" w:rsidRDefault="002F0E77" w:rsidP="002F0E77">
      <w:pPr>
        <w:pStyle w:val="Standard"/>
        <w:spacing w:after="198" w:line="276" w:lineRule="auto"/>
        <w:ind w:left="284"/>
        <w:jc w:val="both"/>
        <w:rPr>
          <w:rFonts w:ascii="Calibri" w:hAnsi="Calibri"/>
          <w:sz w:val="22"/>
          <w:szCs w:val="22"/>
        </w:rPr>
      </w:pPr>
      <w:r>
        <w:rPr>
          <w:rFonts w:ascii="Calibri" w:hAnsi="Calibri"/>
          <w:b/>
          <w:bCs/>
          <w:sz w:val="22"/>
          <w:szCs w:val="22"/>
        </w:rPr>
        <w:t xml:space="preserve">                </w:t>
      </w:r>
      <w:r w:rsidRPr="00315768">
        <w:rPr>
          <w:rFonts w:ascii="Calibri" w:hAnsi="Calibri"/>
          <w:sz w:val="22"/>
          <w:szCs w:val="22"/>
        </w:rPr>
        <w:t xml:space="preserve">ser igualmente agiles y eficaces </w:t>
      </w:r>
      <w:r w:rsidRPr="00315768">
        <w:rPr>
          <w:rFonts w:ascii="Calibri" w:hAnsi="Calibri"/>
          <w:b/>
          <w:bCs/>
          <w:sz w:val="22"/>
          <w:szCs w:val="22"/>
        </w:rPr>
        <w:t>necesitamos simplificar nuestra legislación.</w:t>
      </w:r>
      <w:r w:rsidRPr="00315768">
        <w:rPr>
          <w:rFonts w:ascii="Calibri" w:hAnsi="Calibri"/>
          <w:sz w:val="22"/>
          <w:szCs w:val="22"/>
        </w:rPr>
        <w:t xml:space="preserve"> </w:t>
      </w:r>
    </w:p>
    <w:p w:rsidR="002F0E77" w:rsidRDefault="002F0E77">
      <w:pPr>
        <w:tabs>
          <w:tab w:val="left" w:pos="2208"/>
        </w:tabs>
      </w:pPr>
    </w:p>
    <w:sectPr w:rsidR="002F0E77">
      <w:headerReference w:type="default" r:id="rId8"/>
      <w:footerReference w:type="default" r:id="rId9"/>
      <w:pgSz w:w="11906" w:h="16838"/>
      <w:pgMar w:top="1304" w:right="1247" w:bottom="1304" w:left="1247" w:header="72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D1" w:rsidRDefault="005156D1">
      <w:r>
        <w:separator/>
      </w:r>
    </w:p>
  </w:endnote>
  <w:endnote w:type="continuationSeparator" w:id="0">
    <w:p w:rsidR="005156D1" w:rsidRDefault="0051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T">
    <w:altName w:val="News Got T"/>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Eras Bk BT">
    <w:altName w:val="Calibri"/>
    <w:charset w:val="00"/>
    <w:family w:val="swiss"/>
    <w:pitch w:val="variable"/>
    <w:sig w:usb0="00000087" w:usb1="00000000" w:usb2="00000000" w:usb3="00000000" w:csb0="0000001B" w:csb1="00000000"/>
  </w:font>
  <w:font w:name="Eras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56" w:rsidRDefault="007023CB">
    <w:pPr>
      <w:pStyle w:val="Piedepgina"/>
      <w:ind w:right="360"/>
    </w:pPr>
    <w:r>
      <w:rPr>
        <w:noProof/>
        <w:lang w:eastAsia="es-E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722</wp:posOffset>
              </wp:positionV>
              <wp:extent cx="14602" cy="19687"/>
              <wp:effectExtent l="0" t="0" r="23498" b="18413"/>
              <wp:wrapSquare wrapText="bothSides"/>
              <wp:docPr id="4" name="Marco5"/>
              <wp:cNvGraphicFramePr/>
              <a:graphic xmlns:a="http://schemas.openxmlformats.org/drawingml/2006/main">
                <a:graphicData uri="http://schemas.microsoft.com/office/word/2010/wordprocessingShape">
                  <wps:wsp>
                    <wps:cNvSpPr txBox="1"/>
                    <wps:spPr>
                      <a:xfrm>
                        <a:off x="0" y="0"/>
                        <a:ext cx="14602" cy="19687"/>
                      </a:xfrm>
                      <a:prstGeom prst="rect">
                        <a:avLst/>
                      </a:prstGeom>
                      <a:noFill/>
                      <a:ln>
                        <a:noFill/>
                        <a:prstDash/>
                      </a:ln>
                    </wps:spPr>
                    <wps:txbx>
                      <w:txbxContent>
                        <w:p w:rsidR="00884856" w:rsidRDefault="007023CB">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8</w:t>
                          </w:r>
                          <w:r>
                            <w:rPr>
                              <w:rStyle w:val="Nmerodepgina"/>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Marco5" o:spid="_x0000_s1028" type="#_x0000_t202" style="position:absolute;margin-left:-50.05pt;margin-top:.05pt;width:1.15pt;height:1.5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AHxgEAAIEDAAAOAAAAZHJzL2Uyb0RvYy54bWysU9tu2zAMfR/QfxD0vtgJurQz4hRbgw4D&#10;uguQ9QMYWYoFWKImKbHTrx8lx+nQvRV7kSlejngO6dXdYDp2lD5otDWfz0rOpBXYaLuv+dOvh/e3&#10;nIUItoEOraz5SQZ+t756t+pdJRfYYtdIzwjEhqp3NW9jdFVRBNFKA2GGTloKKvQGIl39vmg89IRu&#10;umJRlsuiR984j0KGQN7NGOTrjK+UFPGHUkFG1tWceov59PncpbNYr6Dae3CtFuc24A1dGNCWHr1A&#10;bSACO3j9D5TRwmNAFWcCTYFKaSEzB2IzL1+x2bbgZOZC4gR3kSn8P1jx/fjTM93U/JozC4ZG9A28&#10;wA9Jmd6FihK2jlLi8BkHmvDkD+RMhAflTfoSFUZx0vh00VUOkYlUdL0sF5wJisw/Lm9vEkbxUup8&#10;iF8kGpaMmnsaWtYSjo8hjqlTSnrJ4oPuujy4zr5ypLwNhHasSuEikRibTVYcdkOmu5iI7LA5ET/a&#10;YXq7Rf/MWU/7UPPw+wBectZ9tSR4Wp7J8JOxmwywgkprHjkbzfs4LhlN2UF8tFsnEsbY7qdDRKUz&#10;tdTT2MG5VZpzFue8k2mR/r7nrJc/Z/0HAAD//wMAUEsDBBQABgAIAAAAIQAvr7O/2AAAAAEBAAAP&#10;AAAAZHJzL2Rvd25yZXYueG1sTI/BbsIwEETvlfgHaytxK06DhGgaByHUniqhhvTQ4yZeEot4ncYG&#10;0r+vOZXjzoxm3uabyfbiQqM3jhU8LxIQxI3ThlsFX9X70xqED8gae8ek4Jc8bIrZQ46Zdlcu6XII&#10;rYgl7DNU0IUwZFL6piOLfuEG4ugd3WgxxHNspR7xGsttL9MkWUmLhuNChwPtOmpOh7NVsP3m8s38&#10;7OvP8liaqnpJ+GN1Umr+OG1fQQSawn8YbvgRHYrIVLszay96BfGRcFNF9NIliFrBMgVZ5PKevPgD&#10;AAD//wMAUEsBAi0AFAAGAAgAAAAhALaDOJL+AAAA4QEAABMAAAAAAAAAAAAAAAAAAAAAAFtDb250&#10;ZW50X1R5cGVzXS54bWxQSwECLQAUAAYACAAAACEAOP0h/9YAAACUAQAACwAAAAAAAAAAAAAAAAAv&#10;AQAAX3JlbHMvLnJlbHNQSwECLQAUAAYACAAAACEA6yJwB8YBAACBAwAADgAAAAAAAAAAAAAAAAAu&#10;AgAAZHJzL2Uyb0RvYy54bWxQSwECLQAUAAYACAAAACEAL6+zv9gAAAABAQAADwAAAAAAAAAAAAAA&#10;AAAgBAAAZHJzL2Rvd25yZXYueG1sUEsFBgAAAAAEAAQA8wAAACUFAAAAAA==&#10;" filled="f" stroked="f">
              <v:textbox inset="0,0,0,0">
                <w:txbxContent>
                  <w:p w:rsidR="00884856" w:rsidRDefault="007023CB">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8</w:t>
                    </w:r>
                    <w:r>
                      <w:rPr>
                        <w:rStyle w:val="Nmerodepgina"/>
                      </w:rPr>
                      <w:fldChar w:fldCharType="end"/>
                    </w:r>
                  </w:p>
                </w:txbxContent>
              </v:textbox>
              <w10:wrap type="square" anchorx="margin"/>
            </v:shape>
          </w:pict>
        </mc:Fallback>
      </mc:AlternateContent>
    </w:r>
    <w:r>
      <w:rPr>
        <w:noProof/>
        <w:lang w:eastAsia="es-ES"/>
      </w:rPr>
      <mc:AlternateContent>
        <mc:Choice Requires="wps">
          <w:drawing>
            <wp:anchor distT="0" distB="0" distL="114300" distR="114300" simplePos="0" relativeHeight="251664384" behindDoc="1" locked="0" layoutInCell="1" allowOverlap="1">
              <wp:simplePos x="0" y="0"/>
              <wp:positionH relativeFrom="column">
                <wp:posOffset>2078998</wp:posOffset>
              </wp:positionH>
              <wp:positionV relativeFrom="paragraph">
                <wp:posOffset>0</wp:posOffset>
              </wp:positionV>
              <wp:extent cx="3862709" cy="374017"/>
              <wp:effectExtent l="0" t="0" r="4441" b="6983"/>
              <wp:wrapNone/>
              <wp:docPr id="5" name="Marco6"/>
              <wp:cNvGraphicFramePr/>
              <a:graphic xmlns:a="http://schemas.openxmlformats.org/drawingml/2006/main">
                <a:graphicData uri="http://schemas.microsoft.com/office/word/2010/wordprocessingShape">
                  <wps:wsp>
                    <wps:cNvSpPr txBox="1"/>
                    <wps:spPr>
                      <a:xfrm>
                        <a:off x="0" y="0"/>
                        <a:ext cx="3862709" cy="374017"/>
                      </a:xfrm>
                      <a:prstGeom prst="rect">
                        <a:avLst/>
                      </a:prstGeom>
                      <a:noFill/>
                      <a:ln>
                        <a:noFill/>
                        <a:prstDash/>
                      </a:ln>
                    </wps:spPr>
                    <wps:txbx>
                      <w:txbxContent>
                        <w:p w:rsidR="00884856" w:rsidRDefault="007023CB">
                          <w:pPr>
                            <w:pStyle w:val="HTMLconformatoprevio"/>
                          </w:pPr>
                          <w:r>
                            <w:rPr>
                              <w:rFonts w:ascii="Eras Bk BT" w:eastAsia="Times New Roman" w:hAnsi="Eras Bk BT" w:cs="Times New Roman"/>
                              <w:color w:val="008000"/>
                              <w:sz w:val="16"/>
                              <w:szCs w:val="16"/>
                            </w:rPr>
                            <w:t xml:space="preserve">Avenida Carlos III, </w:t>
                          </w:r>
                          <w:proofErr w:type="spellStart"/>
                          <w:r>
                            <w:rPr>
                              <w:rFonts w:ascii="Eras Bk BT" w:eastAsia="Times New Roman" w:hAnsi="Eras Bk BT" w:cs="Times New Roman"/>
                              <w:color w:val="008000"/>
                              <w:sz w:val="16"/>
                              <w:szCs w:val="16"/>
                            </w:rPr>
                            <w:t>nº</w:t>
                          </w:r>
                          <w:proofErr w:type="spellEnd"/>
                          <w:r>
                            <w:rPr>
                              <w:rFonts w:ascii="Eras Bk BT" w:eastAsia="Times New Roman" w:hAnsi="Eras Bk BT" w:cs="Times New Roman"/>
                              <w:color w:val="008000"/>
                              <w:sz w:val="16"/>
                              <w:szCs w:val="16"/>
                            </w:rPr>
                            <w:t xml:space="preserve"> 2, (Edificio de la Prensa), Isla de la Cartuja. 41092-Sevilla</w:t>
                          </w:r>
                        </w:p>
                        <w:p w:rsidR="00884856" w:rsidRDefault="007023CB">
                          <w:pPr>
                            <w:pStyle w:val="Standard"/>
                            <w:rPr>
                              <w:rFonts w:ascii="Eras Bk BT" w:hAnsi="Eras Bk BT" w:cs="Eras Bk BT"/>
                              <w:color w:val="008000"/>
                              <w:sz w:val="16"/>
                              <w:szCs w:val="16"/>
                            </w:rPr>
                          </w:pPr>
                          <w:r>
                            <w:rPr>
                              <w:rFonts w:ascii="Eras Bk BT" w:hAnsi="Eras Bk BT" w:cs="Eras Bk BT"/>
                              <w:color w:val="008000"/>
                              <w:sz w:val="16"/>
                              <w:szCs w:val="16"/>
                            </w:rPr>
                            <w:t>Teléfonos: 954 995 339 - 955 063 910</w:t>
                          </w:r>
                        </w:p>
                        <w:p w:rsidR="00884856" w:rsidRDefault="007023CB">
                          <w:pPr>
                            <w:pStyle w:val="Standard"/>
                          </w:pPr>
                          <w:r>
                            <w:rPr>
                              <w:rFonts w:ascii="Eras Bk BT" w:eastAsia="Arial Unicode MS" w:hAnsi="Eras Bk BT" w:cs="Eras Bk BT"/>
                              <w:color w:val="008000"/>
                              <w:sz w:val="16"/>
                              <w:szCs w:val="16"/>
                            </w:rPr>
                            <w:t>www.juntadeandalucia.es/organismos/haciendayfinanciacioneuropea.html</w:t>
                          </w:r>
                        </w:p>
                      </w:txbxContent>
                    </wps:txbx>
                    <wps:bodyPr vert="horz" wrap="square" lIns="0" tIns="0" rIns="0" bIns="0" anchor="t" anchorCtr="0" compatLnSpc="0">
                      <a:noAutofit/>
                    </wps:bodyPr>
                  </wps:wsp>
                </a:graphicData>
              </a:graphic>
            </wp:anchor>
          </w:drawing>
        </mc:Choice>
        <mc:Fallback>
          <w:pict>
            <v:shape id="Marco6" o:spid="_x0000_s1029" type="#_x0000_t202" style="position:absolute;margin-left:163.7pt;margin-top:0;width:304.15pt;height:29.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gUygEAAIQDAAAOAAAAZHJzL2Uyb0RvYy54bWysU9uO0zAQfUfiHyy/06QttEvUdAVUi5CW&#10;i1T4ANexG0uxx4zdJuXrGTtNFy1viBd3MjM+PufMdHM/2I6dFQYDrubzWcmZchIa4441//H94dUd&#10;ZyEK14gOnKr5RQV+v335YtP7Si2gha5RyAjEhar3NW9j9FVRBNkqK8IMvHJU1IBWRPrEY9Gg6And&#10;dsWiLFdFD9h4BKlCoOxuLPJtxtdayfhV66Ai62pO3GI+MZ+HdBbbjaiOKHxr5JWG+AcWVhhHj96g&#10;diIKdkLzF5Q1EiGAjjMJtgCtjVRZA6mZl8/U7FvhVdZC5gR/syn8P1j55fwNmWlq/oYzJyyN6LNA&#10;CavkTO9DRQ17Ty1xeA8DTXjKB0omwYNGm35JCqM6eXy5+aqGyCQll3erxbp8y5mk2nL9upyvE0zx&#10;dNtjiB8VWJaCmiPNLdspzo8hjq1TS3rMwYPpujy7zj1LpL6dCO14K5WLpGPkm6I4HIaseDlpOUBz&#10;IYm0xvR2C/iLs55Woubh50mg4qz75MjztD9TgFNwmALhJF2teeRsDD/Ecc9o0F7ER7f3MmGMdN+d&#10;ImiTpSVOI4MrVRp1Nue6lmmX/vzOXU9/nu1vAAAA//8DAFBLAwQUAAYACAAAACEADYmOzN4AAAAH&#10;AQAADwAAAGRycy9kb3ducmV2LnhtbEyPzU7DMBCE70i8g7VI3KhDS38S4lQVghMSIg0Hjk68TazG&#10;6xC7bXh7lhMcRzOa+SbfTq4XZxyD9aTgfpaAQGq8sdQq+Khe7jYgQtRkdO8JFXxjgG1xfZXrzPgL&#10;lXjex1ZwCYVMK+hiHDIpQ9Oh02HmByT2Dn50OrIcW2lGfeFy18t5kqyk05Z4odMDPnXYHPcnp2D3&#10;SeWz/Xqr38tDaasqTeh1dVTq9mbaPYKIOMW/MPziMzoUzFT7E5kgegWL+fqBowr4EdvpYrkGUStY&#10;blKQRS7/8xc/AAAA//8DAFBLAQItABQABgAIAAAAIQC2gziS/gAAAOEBAAATAAAAAAAAAAAAAAAA&#10;AAAAAABbQ29udGVudF9UeXBlc10ueG1sUEsBAi0AFAAGAAgAAAAhADj9If/WAAAAlAEAAAsAAAAA&#10;AAAAAAAAAAAALwEAAF9yZWxzLy5yZWxzUEsBAi0AFAAGAAgAAAAhAB+mSBTKAQAAhAMAAA4AAAAA&#10;AAAAAAAAAAAALgIAAGRycy9lMm9Eb2MueG1sUEsBAi0AFAAGAAgAAAAhAA2JjszeAAAABwEAAA8A&#10;AAAAAAAAAAAAAAAAJAQAAGRycy9kb3ducmV2LnhtbFBLBQYAAAAABAAEAPMAAAAvBQAAAAA=&#10;" filled="f" stroked="f">
              <v:textbox inset="0,0,0,0">
                <w:txbxContent>
                  <w:p w:rsidR="00884856" w:rsidRDefault="007023CB">
                    <w:pPr>
                      <w:pStyle w:val="HTMLconformatoprevio"/>
                    </w:pPr>
                    <w:r>
                      <w:rPr>
                        <w:rFonts w:ascii="Eras Bk BT" w:eastAsia="Times New Roman" w:hAnsi="Eras Bk BT" w:cs="Times New Roman"/>
                        <w:color w:val="008000"/>
                        <w:sz w:val="16"/>
                        <w:szCs w:val="16"/>
                      </w:rPr>
                      <w:t xml:space="preserve">Avenida Carlos III, </w:t>
                    </w:r>
                    <w:proofErr w:type="spellStart"/>
                    <w:r>
                      <w:rPr>
                        <w:rFonts w:ascii="Eras Bk BT" w:eastAsia="Times New Roman" w:hAnsi="Eras Bk BT" w:cs="Times New Roman"/>
                        <w:color w:val="008000"/>
                        <w:sz w:val="16"/>
                        <w:szCs w:val="16"/>
                      </w:rPr>
                      <w:t>nº</w:t>
                    </w:r>
                    <w:proofErr w:type="spellEnd"/>
                    <w:r>
                      <w:rPr>
                        <w:rFonts w:ascii="Eras Bk BT" w:eastAsia="Times New Roman" w:hAnsi="Eras Bk BT" w:cs="Times New Roman"/>
                        <w:color w:val="008000"/>
                        <w:sz w:val="16"/>
                        <w:szCs w:val="16"/>
                      </w:rPr>
                      <w:t xml:space="preserve"> 2, (Edificio de la Prensa), Isla de la Cartuja. 41092-Sevilla</w:t>
                    </w:r>
                  </w:p>
                  <w:p w:rsidR="00884856" w:rsidRDefault="007023CB">
                    <w:pPr>
                      <w:pStyle w:val="Standard"/>
                      <w:rPr>
                        <w:rFonts w:ascii="Eras Bk BT" w:hAnsi="Eras Bk BT" w:cs="Eras Bk BT"/>
                        <w:color w:val="008000"/>
                        <w:sz w:val="16"/>
                        <w:szCs w:val="16"/>
                      </w:rPr>
                    </w:pPr>
                    <w:r>
                      <w:rPr>
                        <w:rFonts w:ascii="Eras Bk BT" w:hAnsi="Eras Bk BT" w:cs="Eras Bk BT"/>
                        <w:color w:val="008000"/>
                        <w:sz w:val="16"/>
                        <w:szCs w:val="16"/>
                      </w:rPr>
                      <w:t>Teléfonos: 954 995 339 - 955 063 910</w:t>
                    </w:r>
                  </w:p>
                  <w:p w:rsidR="00884856" w:rsidRDefault="007023CB">
                    <w:pPr>
                      <w:pStyle w:val="Standard"/>
                    </w:pPr>
                    <w:r>
                      <w:rPr>
                        <w:rFonts w:ascii="Eras Bk BT" w:eastAsia="Arial Unicode MS" w:hAnsi="Eras Bk BT" w:cs="Eras Bk BT"/>
                        <w:color w:val="008000"/>
                        <w:sz w:val="16"/>
                        <w:szCs w:val="16"/>
                      </w:rPr>
                      <w:t>www.juntadeandalucia.es/organismos/haciendayfinanciacioneuropea.html</w:t>
                    </w:r>
                  </w:p>
                </w:txbxContent>
              </v:textbox>
            </v:shape>
          </w:pict>
        </mc:Fallback>
      </mc:AlternateContent>
    </w:r>
    <w:r>
      <w:rPr>
        <w:noProof/>
        <w:lang w:eastAsia="es-ES"/>
      </w:rPr>
      <mc:AlternateContent>
        <mc:Choice Requires="wps">
          <w:drawing>
            <wp:anchor distT="0" distB="0" distL="114300" distR="114300" simplePos="0" relativeHeight="251662336" behindDoc="1" locked="0" layoutInCell="1" allowOverlap="1">
              <wp:simplePos x="0" y="0"/>
              <wp:positionH relativeFrom="column">
                <wp:posOffset>-935998</wp:posOffset>
              </wp:positionH>
              <wp:positionV relativeFrom="paragraph">
                <wp:posOffset>-1209595</wp:posOffset>
              </wp:positionV>
              <wp:extent cx="1127126" cy="1748159"/>
              <wp:effectExtent l="0" t="0" r="0" b="4441"/>
              <wp:wrapNone/>
              <wp:docPr id="7" name="Marco7"/>
              <wp:cNvGraphicFramePr/>
              <a:graphic xmlns:a="http://schemas.openxmlformats.org/drawingml/2006/main">
                <a:graphicData uri="http://schemas.microsoft.com/office/word/2010/wordprocessingShape">
                  <wps:wsp>
                    <wps:cNvSpPr txBox="1"/>
                    <wps:spPr>
                      <a:xfrm>
                        <a:off x="0" y="0"/>
                        <a:ext cx="1127126" cy="1748159"/>
                      </a:xfrm>
                      <a:prstGeom prst="rect">
                        <a:avLst/>
                      </a:prstGeom>
                      <a:noFill/>
                      <a:ln>
                        <a:noFill/>
                        <a:prstDash/>
                      </a:ln>
                    </wps:spPr>
                    <wps:txbx>
                      <w:txbxContent>
                        <w:p w:rsidR="00884856" w:rsidRDefault="007023CB">
                          <w:pPr>
                            <w:pStyle w:val="Standard"/>
                            <w:ind w:left="-142"/>
                          </w:pPr>
                          <w:r>
                            <w:rPr>
                              <w:noProof/>
                              <w:lang w:eastAsia="es-ES"/>
                            </w:rPr>
                            <w:drawing>
                              <wp:inline distT="0" distB="0" distL="0" distR="0">
                                <wp:extent cx="944282" cy="1657441"/>
                                <wp:effectExtent l="0" t="0" r="8218" b="0"/>
                                <wp:docPr id="6"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grayscl/>
                                        </a:blip>
                                        <a:srcRect/>
                                        <a:stretch>
                                          <a:fillRect/>
                                        </a:stretch>
                                      </pic:blipFill>
                                      <pic:spPr>
                                        <a:xfrm>
                                          <a:off x="0" y="0"/>
                                          <a:ext cx="944282" cy="1657441"/>
                                        </a:xfrm>
                                        <a:prstGeom prst="rect">
                                          <a:avLst/>
                                        </a:prstGeom>
                                        <a:noFill/>
                                        <a:ln>
                                          <a:noFill/>
                                          <a:prstDash/>
                                        </a:ln>
                                      </pic:spPr>
                                    </pic:pic>
                                  </a:graphicData>
                                </a:graphic>
                              </wp:inline>
                            </w:drawing>
                          </w:r>
                        </w:p>
                      </w:txbxContent>
                    </wps:txbx>
                    <wps:bodyPr vert="horz" wrap="square" lIns="92162" tIns="46442" rIns="92162" bIns="46442" anchor="t" anchorCtr="0" compatLnSpc="0">
                      <a:noAutofit/>
                    </wps:bodyPr>
                  </wps:wsp>
                </a:graphicData>
              </a:graphic>
            </wp:anchor>
          </w:drawing>
        </mc:Choice>
        <mc:Fallback>
          <w:pict>
            <v:shape id="Marco7" o:spid="_x0000_s1030" type="#_x0000_t202" style="position:absolute;margin-left:-73.7pt;margin-top:-95.25pt;width:88.75pt;height:137.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Jx0wEAAJUDAAAOAAAAZHJzL2Uyb0RvYy54bWysU8GO2yAQvVfqPyDujWPLTXatOKu20VaV&#10;tt1KaT+AYIiRgKFAYqdf3wEn2Wh7q3rBMDM83nszXj2MRpOj8EGBbWk5m1MiLIdO2X1Lf/54fHdH&#10;SYjMdkyDFS09iUAf1m/frAbXiAp60J3wBEFsaAbX0j5G1xRF4L0wLMzACYtJCd6wiEe/LzrPBkQ3&#10;uqjm80UxgO+cBy5CwOhmStJ1xpdS8PgsZRCR6JYit5hXn9ddWov1ijV7z1yv+JkG+wcWhimLj16h&#10;NiwycvDqLyijuIcAMs44mAKkVFxkDaimnL9Ss+2ZE1kLmhPc1abw/2D5t+N3T1TX0iUllhls0Vfm&#10;OSyTM4MLDRZsHZbE8SOM2OFLPGAwCR6lN+mLUgjm0ePT1VcxRsLTpbJaltWCEo65clnfle/vE07x&#10;ct35ED8LMCRtWuqxcdlPdnwKcSq9lKTXLDwqrXPztH0VSHUbFvrpVkoXSchEOO3iuBuz5PoiZgfd&#10;CTXiHOPbPfjflAw4Ey0Nvw7MC0r0F4um31flosIhyod6Udd48LeZ3W2GWY5QLY2UTNtPcRo87Lxj&#10;8cluHU9WTfQ/HCJIlaUmjhOjM3XsfTbrPKdpuG7Puerlb1r/AQAA//8DAFBLAwQUAAYACAAAACEA&#10;kcj5h+AAAAALAQAADwAAAGRycy9kb3ducmV2LnhtbEyPwU7DMAyG70i8Q2QkbltSKFBK0wkhdh1q&#10;mYR2yxrTViRO12RdeXuy07jZ8qff31+sZmvYhKPvHUlIlgIYUuN0T62E7ed6kQHzQZFWxhFK+EUP&#10;q/L6qlC5dieqcKpDy2II+VxJ6EIYcs5906FVfukGpHj7dqNVIa5jy/WoTjHcGn4nxCO3qqf4oVMD&#10;vnXY/NRHK6Gq3quwnXZ139abw+FjQ2a9+5Ly9mZ+fQEWcA4XGM76UR3K6LR3R9KeGQmLJH1KI3ue&#10;nsUDsMjciwTYXkKWZsDLgv/vUP4BAAD//wMAUEsBAi0AFAAGAAgAAAAhALaDOJL+AAAA4QEAABMA&#10;AAAAAAAAAAAAAAAAAAAAAFtDb250ZW50X1R5cGVzXS54bWxQSwECLQAUAAYACAAAACEAOP0h/9YA&#10;AACUAQAACwAAAAAAAAAAAAAAAAAvAQAAX3JlbHMvLnJlbHNQSwECLQAUAAYACAAAACEA3a3CcdMB&#10;AACVAwAADgAAAAAAAAAAAAAAAAAuAgAAZHJzL2Uyb0RvYy54bWxQSwECLQAUAAYACAAAACEAkcj5&#10;h+AAAAALAQAADwAAAAAAAAAAAAAAAAAtBAAAZHJzL2Rvd25yZXYueG1sUEsFBgAAAAAEAAQA8wAA&#10;ADoFAAAAAA==&#10;" filled="f" stroked="f">
              <v:textbox inset="2.56006mm,1.2901mm,2.56006mm,1.2901mm">
                <w:txbxContent>
                  <w:p w:rsidR="00884856" w:rsidRDefault="007023CB">
                    <w:pPr>
                      <w:pStyle w:val="Standard"/>
                      <w:ind w:left="-142"/>
                    </w:pPr>
                    <w:r>
                      <w:rPr>
                        <w:noProof/>
                        <w:lang w:eastAsia="es-ES"/>
                      </w:rPr>
                      <w:drawing>
                        <wp:inline distT="0" distB="0" distL="0" distR="0">
                          <wp:extent cx="944282" cy="1657441"/>
                          <wp:effectExtent l="0" t="0" r="8218" b="0"/>
                          <wp:docPr id="6"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grayscl/>
                                  </a:blip>
                                  <a:srcRect/>
                                  <a:stretch>
                                    <a:fillRect/>
                                  </a:stretch>
                                </pic:blipFill>
                                <pic:spPr>
                                  <a:xfrm>
                                    <a:off x="0" y="0"/>
                                    <a:ext cx="944282" cy="1657441"/>
                                  </a:xfrm>
                                  <a:prstGeom prst="rect">
                                    <a:avLst/>
                                  </a:prstGeom>
                                  <a:noFill/>
                                  <a:ln>
                                    <a:noFill/>
                                    <a:prstDash/>
                                  </a:ln>
                                </pic:spPr>
                              </pic:pic>
                            </a:graphicData>
                          </a:graphic>
                        </wp:inline>
                      </w:drawing>
                    </w:r>
                  </w:p>
                </w:txbxContent>
              </v:textbox>
            </v:shape>
          </w:pict>
        </mc:Fallback>
      </mc:AlternateContent>
    </w:r>
  </w:p>
  <w:p w:rsidR="00884856" w:rsidRDefault="00515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D1" w:rsidRDefault="005156D1">
      <w:r>
        <w:rPr>
          <w:color w:val="000000"/>
        </w:rPr>
        <w:separator/>
      </w:r>
    </w:p>
  </w:footnote>
  <w:footnote w:type="continuationSeparator" w:id="0">
    <w:p w:rsidR="005156D1" w:rsidRDefault="0051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56" w:rsidRDefault="007023CB">
    <w:pPr>
      <w:pStyle w:val="Encabezado"/>
      <w:tabs>
        <w:tab w:val="left" w:pos="3544"/>
        <w:tab w:val="center" w:pos="4252"/>
        <w:tab w:val="right" w:pos="8504"/>
      </w:tabs>
    </w:pPr>
    <w:r>
      <w:rPr>
        <w:noProof/>
        <w:lang w:eastAsia="es-ES"/>
      </w:rPr>
      <mc:AlternateContent>
        <mc:Choice Requires="wps">
          <w:drawing>
            <wp:anchor distT="0" distB="0" distL="114300" distR="114300" simplePos="0" relativeHeight="251659264" behindDoc="0" locked="0" layoutInCell="1" allowOverlap="1">
              <wp:simplePos x="0" y="0"/>
              <wp:positionH relativeFrom="page">
                <wp:posOffset>847795</wp:posOffset>
              </wp:positionH>
              <wp:positionV relativeFrom="paragraph">
                <wp:posOffset>114839</wp:posOffset>
              </wp:positionV>
              <wp:extent cx="1928497" cy="200655"/>
              <wp:effectExtent l="0" t="0" r="14603" b="8895"/>
              <wp:wrapSquare wrapText="bothSides"/>
              <wp:docPr id="2" name="Marco8"/>
              <wp:cNvGraphicFramePr/>
              <a:graphic xmlns:a="http://schemas.openxmlformats.org/drawingml/2006/main">
                <a:graphicData uri="http://schemas.microsoft.com/office/word/2010/wordprocessingShape">
                  <wps:wsp>
                    <wps:cNvSpPr txBox="1"/>
                    <wps:spPr>
                      <a:xfrm>
                        <a:off x="0" y="0"/>
                        <a:ext cx="1928497" cy="200655"/>
                      </a:xfrm>
                      <a:prstGeom prst="rect">
                        <a:avLst/>
                      </a:prstGeom>
                      <a:noFill/>
                      <a:ln>
                        <a:noFill/>
                        <a:prstDash/>
                      </a:ln>
                    </wps:spPr>
                    <wps:txbx>
                      <w:txbxContent>
                        <w:p w:rsidR="00884856" w:rsidRDefault="007023CB">
                          <w:pPr>
                            <w:pStyle w:val="Encabezado"/>
                            <w:tabs>
                              <w:tab w:val="left" w:pos="-3402"/>
                              <w:tab w:val="center" w:pos="4252"/>
                              <w:tab w:val="right" w:pos="8504"/>
                            </w:tabs>
                          </w:pPr>
                          <w:bookmarkStart w:id="1" w:name="_Hlk369862842"/>
                          <w:bookmarkEnd w:id="1"/>
                          <w:r>
                            <w:rPr>
                              <w:noProof/>
                              <w:lang w:eastAsia="es-ES"/>
                            </w:rPr>
                            <w:drawing>
                              <wp:inline distT="0" distB="0" distL="0" distR="0">
                                <wp:extent cx="1920240" cy="230035"/>
                                <wp:effectExtent l="0" t="0" r="3810" b="0"/>
                                <wp:docPr id="1"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20240" cy="230035"/>
                                        </a:xfrm>
                                        <a:prstGeom prst="rect">
                                          <a:avLst/>
                                        </a:prstGeom>
                                        <a:noFill/>
                                        <a:ln>
                                          <a:noFill/>
                                          <a:prstDash/>
                                        </a:ln>
                                      </pic:spPr>
                                    </pic:pic>
                                  </a:graphicData>
                                </a:graphic>
                              </wp:inline>
                            </w:drawing>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Marco8" o:spid="_x0000_s1026" type="#_x0000_t202" style="position:absolute;margin-left:66.75pt;margin-top:9.05pt;width:151.85pt;height:15.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X0xAEAAH0DAAAOAAAAZHJzL2Uyb0RvYy54bWysU9uO0zAQfUfiHyy/03QrFrpR3RVQLUJa&#10;LlLhA6aO3ViKPcZ2m5SvZ+w0Ldp9W/HijOdyPOfMZHU/2I4dVYgGneA3szlnyklsjNsL/uvnw5sl&#10;ZzGBa6BDpwQ/qcjv169frXpfqwW22DUqMAJxse694G1Kvq6qKFtlIc7QK0dBjcFComvYV02AntBt&#10;Vy3m83dVj6HxAaWKkbybMcjXBV9rJdN3raNKrBOcekvlDOXc5bNar6DeB/Ctkec24AVdWDCOHr1A&#10;bSABOwTzDMoaGTCiTjOJtkKtjVSFA7G5mT9hs23Bq8KFxIn+IlP8f7Dy2/FHYKYRfMGZA0sj+gpB&#10;4jIr0/tYU8LWU0oaPuJAE578kZyZ8KCDzV+iwihOGp8uuqohMZmL7hbLt3fvOZMUy1O7vc0w1bXa&#10;h5g+K7QsG4IHmluRE46PMY2pU0p+zOGD6boyu849ceS8DcR2rMrhKvMY+81WGnYDBbO5w+ZE3Gh/&#10;6dEWwx/OetoFwePvAwTFWffFkdh5cSYjTMZuMsBJKhU8cTaan9K4YDRhD+nRbb3MGGOfHw4JtSmc&#10;rh2ce6QZF1XO+5iX6N97ybr+Neu/AAAA//8DAFBLAwQUAAYACAAAACEA690Ghd4AAAAJAQAADwAA&#10;AGRycy9kb3ducmV2LnhtbEyPzU7DMBCE70i8g7VI3KjTBvoT4lQVghMSIg0Hjk68TazG6xC7bXh7&#10;lhPcZrSfZmfy7eR6ccYxWE8K5rMEBFLjjaVWwUf1crcGEaImo3tPqOAbA2yL66tcZ8ZfqMTzPraC&#10;QyhkWkEX45BJGZoOnQ4zPyDx7eBHpyPbsZVm1BcOd71cJMlSOm2JP3R6wKcOm+P+5BTsPql8tl9v&#10;9Xt5KG1VbRJ6XR6Vur2Zdo8gIk7xD4bf+lwdCu5U+xOZIHr2afrAKIv1HAQD9+lqAaJmsVmBLHL5&#10;f0HxAwAA//8DAFBLAQItABQABgAIAAAAIQC2gziS/gAAAOEBAAATAAAAAAAAAAAAAAAAAAAAAABb&#10;Q29udGVudF9UeXBlc10ueG1sUEsBAi0AFAAGAAgAAAAhADj9If/WAAAAlAEAAAsAAAAAAAAAAAAA&#10;AAAALwEAAF9yZWxzLy5yZWxzUEsBAi0AFAAGAAgAAAAhALgWpfTEAQAAfQMAAA4AAAAAAAAAAAAA&#10;AAAALgIAAGRycy9lMm9Eb2MueG1sUEsBAi0AFAAGAAgAAAAhAOvdBoXeAAAACQEAAA8AAAAAAAAA&#10;AAAAAAAAHgQAAGRycy9kb3ducmV2LnhtbFBLBQYAAAAABAAEAPMAAAApBQAAAAA=&#10;" filled="f" stroked="f">
              <v:textbox inset="0,0,0,0">
                <w:txbxContent>
                  <w:p w:rsidR="00884856" w:rsidRDefault="007023CB">
                    <w:pPr>
                      <w:pStyle w:val="Encabezado"/>
                      <w:tabs>
                        <w:tab w:val="left" w:pos="-3402"/>
                        <w:tab w:val="center" w:pos="4252"/>
                        <w:tab w:val="right" w:pos="8504"/>
                      </w:tabs>
                    </w:pPr>
                    <w:bookmarkStart w:id="4" w:name="_Hlk369862842"/>
                    <w:bookmarkEnd w:id="4"/>
                    <w:r>
                      <w:rPr>
                        <w:noProof/>
                        <w:lang w:eastAsia="es-ES"/>
                      </w:rPr>
                      <w:drawing>
                        <wp:inline distT="0" distB="0" distL="0" distR="0">
                          <wp:extent cx="1920240" cy="230035"/>
                          <wp:effectExtent l="0" t="0" r="3810" b="0"/>
                          <wp:docPr id="1"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20240" cy="230035"/>
                                  </a:xfrm>
                                  <a:prstGeom prst="rect">
                                    <a:avLst/>
                                  </a:prstGeom>
                                  <a:noFill/>
                                  <a:ln>
                                    <a:noFill/>
                                    <a:prstDash/>
                                  </a:ln>
                                </pic:spPr>
                              </pic:pic>
                            </a:graphicData>
                          </a:graphic>
                        </wp:inline>
                      </w:drawing>
                    </w:r>
                  </w:p>
                </w:txbxContent>
              </v:textbox>
              <w10:wrap type="square" anchorx="page"/>
            </v:shap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2202122</wp:posOffset>
              </wp:positionH>
              <wp:positionV relativeFrom="paragraph">
                <wp:posOffset>115561</wp:posOffset>
              </wp:positionV>
              <wp:extent cx="3775072" cy="459101"/>
              <wp:effectExtent l="0" t="0" r="15878" b="17149"/>
              <wp:wrapTopAndBottom/>
              <wp:docPr id="3" name="Marco9"/>
              <wp:cNvGraphicFramePr/>
              <a:graphic xmlns:a="http://schemas.openxmlformats.org/drawingml/2006/main">
                <a:graphicData uri="http://schemas.microsoft.com/office/word/2010/wordprocessingShape">
                  <wps:wsp>
                    <wps:cNvSpPr txBox="1"/>
                    <wps:spPr>
                      <a:xfrm>
                        <a:off x="0" y="0"/>
                        <a:ext cx="3775072" cy="459101"/>
                      </a:xfrm>
                      <a:prstGeom prst="rect">
                        <a:avLst/>
                      </a:prstGeom>
                      <a:noFill/>
                      <a:ln>
                        <a:noFill/>
                        <a:prstDash/>
                      </a:ln>
                    </wps:spPr>
                    <wps:txbx>
                      <w:txbxContent>
                        <w:p w:rsidR="00884856" w:rsidRDefault="007023CB">
                          <w:pPr>
                            <w:pStyle w:val="Sender"/>
                            <w:ind w:left="-7088" w:right="0" w:firstLine="7088"/>
                            <w:rPr>
                              <w:rFonts w:ascii="Eras Bk BT" w:hAnsi="Eras Bk BT" w:cs="Eras Bk BT"/>
                              <w:b/>
                              <w:color w:val="008000"/>
                              <w:sz w:val="20"/>
                            </w:rPr>
                          </w:pPr>
                          <w:bookmarkStart w:id="2" w:name="_Hlk369862862"/>
                          <w:bookmarkEnd w:id="2"/>
                          <w:r>
                            <w:rPr>
                              <w:rFonts w:ascii="Eras Bk BT" w:hAnsi="Eras Bk BT" w:cs="Eras Bk BT"/>
                              <w:b/>
                              <w:color w:val="008000"/>
                              <w:sz w:val="20"/>
                            </w:rPr>
                            <w:t>CONSEJERÍA HACIENDA Y FINANCIACIÓN EUROPEA</w:t>
                          </w:r>
                        </w:p>
                        <w:p w:rsidR="00884856" w:rsidRDefault="007023CB">
                          <w:pPr>
                            <w:pStyle w:val="Sender"/>
                            <w:ind w:left="-7088" w:right="0" w:firstLine="7088"/>
                          </w:pPr>
                          <w:r>
                            <w:rPr>
                              <w:rFonts w:ascii="Eras Md BT" w:hAnsi="Eras Md BT" w:cs="Eras Md BT"/>
                              <w:color w:val="008000"/>
                              <w:sz w:val="18"/>
                            </w:rPr>
                            <w:t>Dirección General de Fondos Europeos</w:t>
                          </w:r>
                        </w:p>
                        <w:p w:rsidR="00884856" w:rsidRDefault="005156D1">
                          <w:pPr>
                            <w:pStyle w:val="Sender"/>
                            <w:ind w:left="-7088" w:right="0" w:firstLine="7088"/>
                          </w:pPr>
                        </w:p>
                      </w:txbxContent>
                    </wps:txbx>
                    <wps:bodyPr vert="horz" wrap="square" lIns="0" tIns="0" rIns="0" bIns="0" anchor="t" anchorCtr="0" compatLnSpc="0">
                      <a:noAutofit/>
                    </wps:bodyPr>
                  </wps:wsp>
                </a:graphicData>
              </a:graphic>
            </wp:anchor>
          </w:drawing>
        </mc:Choice>
        <mc:Fallback>
          <w:pict>
            <v:shape id="Marco9" o:spid="_x0000_s1027" type="#_x0000_t202" style="position:absolute;margin-left:173.4pt;margin-top:9.1pt;width:297.25pt;height:3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zVygEAAIQDAAAOAAAAZHJzL2Uyb0RvYy54bWysU9tu2zAMfR+wfxD0vthJ12U14hRtgw4D&#10;uguQ9QMUWYoFWKJGKbGzrx8lx+nQvQ17oSmSOjqHpFe3g+3YUWEw4Go+n5WcKSehMW5f8+cfj+8+&#10;chaicI3owKman1Tgt+u3b1a9r9QCWugahYxAXKh6X/M2Rl8VRZCtsiLMwCtHSQ1oRaQj7osGRU/o&#10;tisWZfmh6AEbjyBVCBTdjEm+zvhaKxm/aR1UZF3NiVvMFrPdJVusV6Lao/CtkWca4h9YWGEcPXqB&#10;2ogo2AHNX1DWSIQAOs4k2AK0NlJlDaRmXr5Ss22FV1kLNSf4S5vC/4OVX4/fkZmm5lecOWFpRF8E&#10;SrhJnel9qKhg66kkDvcw0ISneKBgEjxotOlLUhjlqcenS1/VEJmk4NVyeV0uF5xJyr2/vpmXGaZ4&#10;ue0xxE8KLEtOzZHmltspjk8hEhMqnUrSYw4eTdfl2XXuVSDVbURox1spXSQdI9/kxWE3ZMUXLTto&#10;TiSR1pjebgF/cdbTStQ8/DwIVJx1nx31PO3P5ODk7CZHOElXax45G92HOO4ZDdqL+OS2XiaMke7d&#10;IYI2WVriNDI4U6VRZ8XntUy79Oc5V738POvfAAAA//8DAFBLAwQUAAYACAAAACEAruPml98AAAAJ&#10;AQAADwAAAGRycy9kb3ducmV2LnhtbEyPzU7DMBCE70i8g7VI3KjdH6I2xKkqBCckRBoOHJ14m0SN&#10;1yF22/D2LKdym9WMZr7NtpPrxRnH0HnSMJ8pEEi1tx01Gj7L14c1iBANWdN7Qg0/GGCb395kJrX+&#10;QgWe97ERXEIhNRraGIdUylC36EyY+QGJvYMfnYl8jo20o7lwuevlQqlEOtMRL7RmwOcW6+P+5DTs&#10;vqh46b7fq4/iUHRluVH0lhy1vr+bdk8gIk7xGoY/fEaHnJkqfyIbRK9huUoYPbKxXoDgwGY1X4Ko&#10;WKhHkHkm/3+Q/wIAAP//AwBQSwECLQAUAAYACAAAACEAtoM4kv4AAADhAQAAEwAAAAAAAAAAAAAA&#10;AAAAAAAAW0NvbnRlbnRfVHlwZXNdLnhtbFBLAQItABQABgAIAAAAIQA4/SH/1gAAAJQBAAALAAAA&#10;AAAAAAAAAAAAAC8BAABfcmVscy8ucmVsc1BLAQItABQABgAIAAAAIQA4hJzVygEAAIQDAAAOAAAA&#10;AAAAAAAAAAAAAC4CAABkcnMvZTJvRG9jLnhtbFBLAQItABQABgAIAAAAIQCu4+aX3wAAAAkBAAAP&#10;AAAAAAAAAAAAAAAAACQEAABkcnMvZG93bnJldi54bWxQSwUGAAAAAAQABADzAAAAMAUAAAAA&#10;" filled="f" stroked="f">
              <v:textbox inset="0,0,0,0">
                <w:txbxContent>
                  <w:p w:rsidR="00884856" w:rsidRDefault="007023CB">
                    <w:pPr>
                      <w:pStyle w:val="Sender"/>
                      <w:ind w:left="-7088" w:right="0" w:firstLine="7088"/>
                      <w:rPr>
                        <w:rFonts w:ascii="Eras Bk BT" w:hAnsi="Eras Bk BT" w:cs="Eras Bk BT"/>
                        <w:b/>
                        <w:color w:val="008000"/>
                        <w:sz w:val="20"/>
                      </w:rPr>
                    </w:pPr>
                    <w:bookmarkStart w:id="6" w:name="_Hlk369862862"/>
                    <w:bookmarkEnd w:id="6"/>
                    <w:r>
                      <w:rPr>
                        <w:rFonts w:ascii="Eras Bk BT" w:hAnsi="Eras Bk BT" w:cs="Eras Bk BT"/>
                        <w:b/>
                        <w:color w:val="008000"/>
                        <w:sz w:val="20"/>
                      </w:rPr>
                      <w:t>CONSEJERÍA HACIENDA Y FINANCIACIÓN EUROPEA</w:t>
                    </w:r>
                  </w:p>
                  <w:p w:rsidR="00884856" w:rsidRDefault="007023CB">
                    <w:pPr>
                      <w:pStyle w:val="Sender"/>
                      <w:ind w:left="-7088" w:right="0" w:firstLine="7088"/>
                    </w:pPr>
                    <w:r>
                      <w:rPr>
                        <w:rFonts w:ascii="Eras Md BT" w:hAnsi="Eras Md BT" w:cs="Eras Md BT"/>
                        <w:color w:val="008000"/>
                        <w:sz w:val="18"/>
                      </w:rPr>
                      <w:t>Dirección General de Fondos Europeos</w:t>
                    </w:r>
                  </w:p>
                  <w:p w:rsidR="00884856" w:rsidRDefault="00F41AA8">
                    <w:pPr>
                      <w:pStyle w:val="Sender"/>
                      <w:ind w:left="-7088" w:right="0" w:firstLine="7088"/>
                    </w:pPr>
                  </w:p>
                </w:txbxContent>
              </v:textbox>
              <w10:wrap type="topAndBottom"/>
            </v:shape>
          </w:pict>
        </mc:Fallback>
      </mc:AlternateContent>
    </w:r>
  </w:p>
  <w:p w:rsidR="00884856" w:rsidRDefault="005156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569"/>
    <w:multiLevelType w:val="multilevel"/>
    <w:tmpl w:val="1E6C5988"/>
    <w:styleLink w:val="WW8Num6"/>
    <w:lvl w:ilvl="0">
      <w:numFmt w:val="bullet"/>
      <w:lvlText w:val="–"/>
      <w:lvlJc w:val="left"/>
      <w:pPr>
        <w:ind w:left="927" w:hanging="360"/>
      </w:pPr>
      <w:rPr>
        <w:rFonts w:ascii="NewsGotT" w:eastAsia="Times New Roman" w:hAnsi="NewsGotT"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1" w15:restartNumberingAfterBreak="0">
    <w:nsid w:val="0B921BA5"/>
    <w:multiLevelType w:val="multilevel"/>
    <w:tmpl w:val="67C4230C"/>
    <w:styleLink w:val="WW8Num5"/>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 w15:restartNumberingAfterBreak="0">
    <w:nsid w:val="154B24E7"/>
    <w:multiLevelType w:val="multilevel"/>
    <w:tmpl w:val="B4A218B2"/>
    <w:styleLink w:val="WW8Num3"/>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 w15:restartNumberingAfterBreak="0">
    <w:nsid w:val="4A4341A5"/>
    <w:multiLevelType w:val="multilevel"/>
    <w:tmpl w:val="3FB0A1D4"/>
    <w:styleLink w:val="WW8Num1"/>
    <w:lvl w:ilvl="0">
      <w:numFmt w:val="bullet"/>
      <w:lvlText w:val="–"/>
      <w:lvlJc w:val="left"/>
      <w:pPr>
        <w:ind w:left="927" w:hanging="360"/>
      </w:pPr>
      <w:rPr>
        <w:rFonts w:ascii="NewsGotT" w:eastAsia="Times New Roman" w:hAnsi="NewsGotT"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4" w15:restartNumberingAfterBreak="0">
    <w:nsid w:val="57465795"/>
    <w:multiLevelType w:val="multilevel"/>
    <w:tmpl w:val="6C149704"/>
    <w:styleLink w:val="WW8Num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F597975"/>
    <w:multiLevelType w:val="multilevel"/>
    <w:tmpl w:val="803CFF70"/>
    <w:styleLink w:val="WW8Num2"/>
    <w:lvl w:ilvl="0">
      <w:numFmt w:val="bullet"/>
      <w:lvlText w:val="–"/>
      <w:lvlJc w:val="left"/>
      <w:pPr>
        <w:ind w:left="927" w:hanging="360"/>
      </w:pPr>
      <w:rPr>
        <w:rFonts w:ascii="NewsGotT" w:eastAsia="Times New Roman" w:hAnsi="NewsGotT"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6" w15:restartNumberingAfterBreak="0">
    <w:nsid w:val="71BA316E"/>
    <w:multiLevelType w:val="hybridMultilevel"/>
    <w:tmpl w:val="92EAA25A"/>
    <w:lvl w:ilvl="0" w:tplc="F1F280C4">
      <w:start w:val="1"/>
      <w:numFmt w:val="decimal"/>
      <w:lvlText w:val="%1."/>
      <w:lvlJc w:val="left"/>
      <w:pPr>
        <w:ind w:left="1068" w:hanging="708"/>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D42431"/>
    <w:multiLevelType w:val="hybridMultilevel"/>
    <w:tmpl w:val="6E5A06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B4"/>
    <w:rsid w:val="00034D11"/>
    <w:rsid w:val="00050DF9"/>
    <w:rsid w:val="00053A91"/>
    <w:rsid w:val="00137842"/>
    <w:rsid w:val="0018512E"/>
    <w:rsid w:val="00196FAD"/>
    <w:rsid w:val="00227FF9"/>
    <w:rsid w:val="00296BE2"/>
    <w:rsid w:val="002A320E"/>
    <w:rsid w:val="002F0E77"/>
    <w:rsid w:val="00315768"/>
    <w:rsid w:val="00330D05"/>
    <w:rsid w:val="0033768A"/>
    <w:rsid w:val="00380E61"/>
    <w:rsid w:val="003F4AA4"/>
    <w:rsid w:val="004043D9"/>
    <w:rsid w:val="00454F90"/>
    <w:rsid w:val="004B31BA"/>
    <w:rsid w:val="004F2DBB"/>
    <w:rsid w:val="005156D1"/>
    <w:rsid w:val="00623FF9"/>
    <w:rsid w:val="0063516F"/>
    <w:rsid w:val="006860C5"/>
    <w:rsid w:val="006A063F"/>
    <w:rsid w:val="006E358D"/>
    <w:rsid w:val="006F7D4A"/>
    <w:rsid w:val="007023CB"/>
    <w:rsid w:val="00745638"/>
    <w:rsid w:val="00763053"/>
    <w:rsid w:val="0076641B"/>
    <w:rsid w:val="00787410"/>
    <w:rsid w:val="007E349B"/>
    <w:rsid w:val="008331B9"/>
    <w:rsid w:val="008502C8"/>
    <w:rsid w:val="008F514E"/>
    <w:rsid w:val="00927CB6"/>
    <w:rsid w:val="009D3086"/>
    <w:rsid w:val="00A232F8"/>
    <w:rsid w:val="00A459D3"/>
    <w:rsid w:val="00A624E9"/>
    <w:rsid w:val="00AB0FC3"/>
    <w:rsid w:val="00AE3C97"/>
    <w:rsid w:val="00B72A1E"/>
    <w:rsid w:val="00B92EF2"/>
    <w:rsid w:val="00BB1E1D"/>
    <w:rsid w:val="00C3669F"/>
    <w:rsid w:val="00C45193"/>
    <w:rsid w:val="00C57AED"/>
    <w:rsid w:val="00C63690"/>
    <w:rsid w:val="00CB7182"/>
    <w:rsid w:val="00CD62B1"/>
    <w:rsid w:val="00D055B4"/>
    <w:rsid w:val="00D84BFB"/>
    <w:rsid w:val="00DA133F"/>
    <w:rsid w:val="00DF2E07"/>
    <w:rsid w:val="00EC5396"/>
    <w:rsid w:val="00EF0467"/>
    <w:rsid w:val="00F35E06"/>
    <w:rsid w:val="00F41AA8"/>
    <w:rsid w:val="00F50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722"/>
  <w15:docId w15:val="{E689E126-4069-4854-8BA7-564598A8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Mang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ind w:right="-142"/>
      <w:jc w:val="both"/>
      <w:outlineLvl w:val="0"/>
    </w:pPr>
    <w:rPr>
      <w:sz w:val="22"/>
    </w:rPr>
  </w:style>
  <w:style w:type="paragraph" w:styleId="Ttulo2">
    <w:name w:val="heading 2"/>
    <w:basedOn w:val="Standard"/>
    <w:next w:val="Standard"/>
    <w:uiPriority w:val="9"/>
    <w:semiHidden/>
    <w:unhideWhenUsed/>
    <w:qFormat/>
    <w:pPr>
      <w:keepNext/>
      <w:jc w:val="right"/>
      <w:outlineLvl w:val="1"/>
    </w:pPr>
    <w:rPr>
      <w:b/>
      <w:sz w:val="22"/>
      <w:lang w:val="zu-ZA"/>
    </w:rPr>
  </w:style>
  <w:style w:type="paragraph" w:styleId="Ttulo3">
    <w:name w:val="heading 3"/>
    <w:basedOn w:val="Standard"/>
    <w:next w:val="Standard"/>
    <w:uiPriority w:val="9"/>
    <w:semiHidden/>
    <w:unhideWhenUsed/>
    <w:qFormat/>
    <w:pPr>
      <w:keepNext/>
      <w:outlineLvl w:val="2"/>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NewsGotT" w:eastAsia="Times New Roman" w:hAnsi="NewsGotT" w:cs="NewsGotT"/>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pacing w:line="480" w:lineRule="auto"/>
      <w:ind w:left="840" w:right="-120"/>
    </w:pPr>
    <w:rPr>
      <w:rFonts w:ascii="Times New Roman" w:hAnsi="Times New Roman" w:cs="Times New Roman"/>
      <w:sz w:val="20"/>
    </w:r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819"/>
        <w:tab w:val="right" w:pos="9638"/>
      </w:tabs>
    </w:p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Casillasdeverificacin">
    <w:name w:val="Casillas de verificación"/>
    <w:basedOn w:val="Standard"/>
    <w:pPr>
      <w:widowControl w:val="0"/>
      <w:spacing w:before="360" w:after="360"/>
    </w:pPr>
    <w:rPr>
      <w:rFonts w:ascii="Times New Roman" w:hAnsi="Times New Roman" w:cs="Times New Roman"/>
      <w:sz w:val="20"/>
    </w:rPr>
  </w:style>
  <w:style w:type="paragraph" w:customStyle="1" w:styleId="Encabezadodefax">
    <w:name w:val="Encabezado de fax"/>
    <w:basedOn w:val="Standard"/>
    <w:pPr>
      <w:widowControl w:val="0"/>
      <w:spacing w:before="240" w:after="60"/>
    </w:pPr>
    <w:rPr>
      <w:rFonts w:ascii="Times New Roman" w:hAnsi="Times New Roman" w:cs="Times New Roman"/>
      <w:sz w:val="20"/>
    </w:rPr>
  </w:style>
  <w:style w:type="paragraph" w:customStyle="1" w:styleId="Ttulodeldocumento">
    <w:name w:val="Título del documento"/>
    <w:next w:val="Standard"/>
    <w:pPr>
      <w:widowControl w:val="0"/>
      <w:suppressAutoHyphens/>
      <w:spacing w:before="100" w:after="720" w:line="480" w:lineRule="auto"/>
      <w:ind w:left="840"/>
    </w:pPr>
    <w:rPr>
      <w:rFonts w:ascii="Times New Roman" w:eastAsia="Times New Roman" w:hAnsi="Times New Roman" w:cs="Times New Roman"/>
      <w:spacing w:val="-34"/>
      <w:sz w:val="60"/>
      <w:szCs w:val="20"/>
      <w:lang w:bidi="ar-SA"/>
    </w:rPr>
  </w:style>
  <w:style w:type="paragraph" w:customStyle="1" w:styleId="Logotipo">
    <w:name w:val="Logotipo"/>
    <w:basedOn w:val="Standard"/>
    <w:pPr>
      <w:widowControl w:val="0"/>
    </w:pPr>
    <w:rPr>
      <w:rFonts w:ascii="Times New Roman" w:hAnsi="Times New Roman" w:cs="Times New Roman"/>
      <w:sz w:val="20"/>
    </w:rPr>
  </w:style>
  <w:style w:type="paragraph" w:customStyle="1" w:styleId="Eslogan">
    <w:name w:val="Eslogan"/>
    <w:basedOn w:val="Standard"/>
    <w:pPr>
      <w:widowControl w:val="0"/>
    </w:pPr>
    <w:rPr>
      <w:rFonts w:ascii="Impact" w:eastAsia="Impact" w:hAnsi="Impact" w:cs="Impact"/>
      <w:caps/>
      <w:color w:val="FFFFFF"/>
      <w:spacing w:val="20"/>
      <w:position w:val="12"/>
      <w:sz w:val="48"/>
    </w:rPr>
  </w:style>
  <w:style w:type="paragraph" w:customStyle="1" w:styleId="Organizacin">
    <w:name w:val="Organización"/>
    <w:basedOn w:val="Standard"/>
    <w:pPr>
      <w:keepLines/>
      <w:widowControl w:val="0"/>
      <w:spacing w:line="192" w:lineRule="auto"/>
      <w:ind w:left="840" w:right="-120"/>
    </w:pPr>
    <w:rPr>
      <w:rFonts w:ascii="Times New Roman" w:hAnsi="Times New Roman" w:cs="Times New Roman"/>
      <w:sz w:val="16"/>
    </w:rPr>
  </w:style>
  <w:style w:type="paragraph" w:customStyle="1" w:styleId="Encabezado-base">
    <w:name w:val="Encabezado - base"/>
    <w:basedOn w:val="Standard"/>
    <w:pPr>
      <w:keepLines/>
      <w:widowControl w:val="0"/>
      <w:tabs>
        <w:tab w:val="left" w:pos="-2160"/>
        <w:tab w:val="center" w:pos="3240"/>
        <w:tab w:val="right" w:pos="8400"/>
      </w:tabs>
      <w:ind w:left="-1080" w:right="-840"/>
    </w:pPr>
    <w:rPr>
      <w:rFonts w:ascii="Arial" w:eastAsia="Arial" w:hAnsi="Arial" w:cs="Arial"/>
      <w:sz w:val="20"/>
    </w:rPr>
  </w:style>
  <w:style w:type="paragraph" w:customStyle="1" w:styleId="Ttulo-base">
    <w:name w:val="Título - base"/>
    <w:basedOn w:val="Standard"/>
    <w:next w:val="Textbody"/>
    <w:pPr>
      <w:keepNext/>
      <w:keepLines/>
      <w:widowControl w:val="0"/>
      <w:spacing w:line="480" w:lineRule="auto"/>
      <w:ind w:left="840" w:right="-240"/>
    </w:pPr>
    <w:rPr>
      <w:rFonts w:ascii="Arial" w:eastAsia="Arial" w:hAnsi="Arial" w:cs="Arial"/>
      <w:spacing w:val="-10"/>
      <w:sz w:val="20"/>
    </w:rPr>
  </w:style>
  <w:style w:type="paragraph" w:styleId="Encabezadodemensaje">
    <w:name w:val="Message Header"/>
    <w:basedOn w:val="Textbody"/>
    <w:pPr>
      <w:keepLines/>
      <w:tabs>
        <w:tab w:val="left" w:pos="3120"/>
        <w:tab w:val="left" w:pos="6480"/>
        <w:tab w:val="left" w:pos="7200"/>
      </w:tabs>
      <w:ind w:left="1560" w:right="0" w:hanging="720"/>
    </w:pPr>
  </w:style>
  <w:style w:type="paragraph" w:customStyle="1" w:styleId="Encabezadodemensaje-primera">
    <w:name w:val="Encabezado de mensaje - primera"/>
    <w:basedOn w:val="Encabezadodemensaje"/>
    <w:next w:val="Encabezadodemensaje"/>
  </w:style>
  <w:style w:type="paragraph" w:customStyle="1" w:styleId="Encabezadodemensaje-ltima">
    <w:name w:val="Encabezado de mensaje - última"/>
    <w:basedOn w:val="Encabezadodemensaje"/>
    <w:next w:val="Textbody"/>
    <w:pPr>
      <w:tabs>
        <w:tab w:val="clear" w:pos="3120"/>
        <w:tab w:val="clear" w:pos="6480"/>
        <w:tab w:val="clear" w:pos="7200"/>
        <w:tab w:val="left" w:pos="2820"/>
        <w:tab w:val="left" w:pos="4350"/>
        <w:tab w:val="left" w:pos="6330"/>
        <w:tab w:val="left" w:pos="7950"/>
      </w:tabs>
      <w:spacing w:before="100" w:after="920"/>
      <w:ind w:left="840" w:firstLine="0"/>
    </w:pPr>
    <w:rPr>
      <w:spacing w:val="-6"/>
    </w:rPr>
  </w:style>
  <w:style w:type="paragraph" w:customStyle="1" w:styleId="Firmanombre">
    <w:name w:val="Firma nombre"/>
    <w:basedOn w:val="Standard"/>
    <w:next w:val="Standard"/>
    <w:pPr>
      <w:keepNext/>
      <w:keepLines/>
      <w:widowControl w:val="0"/>
      <w:spacing w:before="660"/>
      <w:ind w:left="840" w:right="-120"/>
    </w:pPr>
    <w:rPr>
      <w:rFonts w:ascii="Times New Roman" w:hAnsi="Times New Roman" w:cs="Times New Roman"/>
      <w:sz w:val="20"/>
    </w:rPr>
  </w:style>
  <w:style w:type="paragraph" w:customStyle="1" w:styleId="Sender">
    <w:name w:val="Sender"/>
    <w:basedOn w:val="Standard"/>
    <w:pPr>
      <w:keepLines/>
      <w:widowControl w:val="0"/>
      <w:spacing w:line="192" w:lineRule="auto"/>
      <w:ind w:right="-120"/>
    </w:pPr>
    <w:rPr>
      <w:rFonts w:ascii="Times New Roman" w:hAnsi="Times New Roman" w:cs="Times New Roman"/>
      <w:sz w:val="16"/>
    </w:rPr>
  </w:style>
  <w:style w:type="paragraph" w:styleId="Textoindependiente2">
    <w:name w:val="Body Text 2"/>
    <w:basedOn w:val="Standard"/>
    <w:pPr>
      <w:jc w:val="both"/>
    </w:pPr>
    <w:rPr>
      <w:sz w:val="22"/>
    </w:rPr>
  </w:style>
  <w:style w:type="paragraph" w:customStyle="1" w:styleId="Textbodyindent">
    <w:name w:val="Text body indent"/>
    <w:basedOn w:val="Standard"/>
    <w:pPr>
      <w:ind w:left="700" w:hanging="700"/>
    </w:pPr>
    <w:rPr>
      <w:rFonts w:ascii="Arial" w:eastAsia="Arial" w:hAnsi="Arial" w:cs="Arial"/>
      <w:sz w:val="20"/>
    </w:rPr>
  </w:style>
  <w:style w:type="paragraph" w:styleId="Textoindependiente3">
    <w:name w:val="Body Text 3"/>
    <w:basedOn w:val="Standard"/>
    <w:rPr>
      <w:sz w:val="22"/>
    </w:rPr>
  </w:style>
  <w:style w:type="paragraph" w:customStyle="1" w:styleId="Normal-1">
    <w:name w:val="Normal-1"/>
    <w:basedOn w:val="Standard"/>
    <w:pPr>
      <w:overflowPunct w:val="0"/>
      <w:autoSpaceDE w:val="0"/>
      <w:spacing w:after="120"/>
      <w:jc w:val="both"/>
    </w:pPr>
    <w:rPr>
      <w:rFonts w:ascii="Futura Lt BT" w:eastAsia="Futura Lt BT" w:hAnsi="Futura Lt BT" w:cs="Futura Lt BT"/>
      <w:sz w:val="20"/>
    </w:rPr>
  </w:style>
  <w:style w:type="paragraph" w:styleId="Textodeglobo">
    <w:name w:val="Balloon Text"/>
    <w:basedOn w:val="Standard"/>
    <w:rPr>
      <w:rFonts w:ascii="Tahoma" w:eastAsia="Tahoma" w:hAnsi="Tahoma" w:cs="Tahoma"/>
      <w:sz w:val="16"/>
      <w:szCs w:val="16"/>
    </w:rPr>
  </w:style>
  <w:style w:type="paragraph" w:styleId="HTMLconformatoprevio">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sz w:val="22"/>
    </w:rPr>
  </w:style>
  <w:style w:type="paragraph" w:customStyle="1" w:styleId="Framecontents">
    <w:name w:val="Frame contents"/>
    <w:basedOn w:val="Standard"/>
  </w:style>
  <w:style w:type="paragraph" w:customStyle="1" w:styleId="PreformattedText">
    <w:name w:val="Preformatted Text"/>
    <w:basedOn w:val="Standard"/>
    <w:rPr>
      <w:rFonts w:ascii="Liberation Mono" w:eastAsia="Courier New" w:hAnsi="Liberation Mono" w:cs="Liberation Mono"/>
      <w:sz w:val="20"/>
    </w:rPr>
  </w:style>
  <w:style w:type="paragraph" w:customStyle="1" w:styleId="Footnote">
    <w:name w:val="Footnote"/>
    <w:basedOn w:val="Standard"/>
    <w:pPr>
      <w:suppressLineNumbers/>
      <w:ind w:left="339" w:hanging="339"/>
    </w:pPr>
    <w:rPr>
      <w:sz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Endnote">
    <w:name w:val="Endnote"/>
    <w:basedOn w:val="Standard"/>
    <w:pPr>
      <w:suppressLineNumbers/>
      <w:ind w:left="339" w:hanging="339"/>
    </w:pPr>
    <w:rPr>
      <w:sz w:val="20"/>
    </w:rPr>
  </w:style>
  <w:style w:type="paragraph" w:styleId="Textonotaalfinal">
    <w:name w:val="endnote text"/>
    <w:basedOn w:val="Normal"/>
    <w:rPr>
      <w:sz w:val="20"/>
      <w:szCs w:val="18"/>
    </w:rPr>
  </w:style>
  <w:style w:type="paragraph" w:styleId="Textonotapie">
    <w:name w:val="footnote text"/>
    <w:basedOn w:val="Normal"/>
    <w:rPr>
      <w:sz w:val="20"/>
      <w:szCs w:val="18"/>
    </w:rPr>
  </w:style>
  <w:style w:type="paragraph" w:styleId="Prrafodelista">
    <w:name w:val="List Paragraph"/>
    <w:basedOn w:val="Standard"/>
    <w:pPr>
      <w:spacing w:after="200" w:line="276" w:lineRule="auto"/>
      <w:ind w:left="720"/>
    </w:pPr>
    <w:rPr>
      <w:rFonts w:ascii="Calibri" w:eastAsia="Calibri" w:hAnsi="Calibri" w:cs="Wingdings"/>
      <w:kern w:val="0"/>
      <w:sz w:val="22"/>
      <w:szCs w:val="22"/>
      <w:lang w:eastAsia="ar-SA"/>
    </w:r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cs="Times New Roman"/>
      <w:kern w:val="0"/>
      <w:lang w:eastAsia="es-ES" w:bidi="ar-SA"/>
    </w:rPr>
  </w:style>
  <w:style w:type="character" w:customStyle="1" w:styleId="WW8Num1z0">
    <w:name w:val="WW8Num1z0"/>
    <w:rPr>
      <w:rFonts w:ascii="NewsGotT" w:eastAsia="Times New Roman" w:hAnsi="NewsGotT"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NewsGotT" w:eastAsia="Times New Roman" w:hAnsi="NewsGotT"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NewsGotT" w:eastAsia="Times New Roman" w:hAnsi="NewsGot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Rtulodeencabezadodemensaje">
    <w:name w:val="Rótulo de encabezado de mensaje"/>
    <w:rPr>
      <w:rFonts w:ascii="Arial" w:eastAsia="Arial" w:hAnsi="Arial" w:cs="Arial"/>
      <w:b/>
      <w:spacing w:val="-4"/>
      <w:sz w:val="18"/>
    </w:rPr>
  </w:style>
  <w:style w:type="character" w:customStyle="1" w:styleId="Emphasisuser">
    <w:name w:val="Emphasis (user)"/>
    <w:rPr>
      <w:rFonts w:ascii="Arial" w:eastAsia="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
  </w:style>
  <w:style w:type="character" w:customStyle="1" w:styleId="textovalor">
    <w:name w:val="textovalor"/>
    <w:basedOn w:val="Fuentedeprrafopredeter"/>
    <w:rPr>
      <w:rFonts w:ascii="Verdana" w:eastAsia="Verdana" w:hAnsi="Verdana" w:cs="Verdana"/>
      <w:b w:val="0"/>
      <w:bCs w:val="0"/>
      <w:color w:val="000000"/>
      <w:sz w:val="17"/>
      <w:szCs w:val="17"/>
    </w:rPr>
  </w:style>
  <w:style w:type="character" w:customStyle="1" w:styleId="textodireccion">
    <w:name w:val="textodireccion"/>
    <w:basedOn w:val="Fuentedeprrafopredeter"/>
    <w:rPr>
      <w:rFonts w:ascii="Verdana" w:eastAsia="Verdana" w:hAnsi="Verdana" w:cs="Verdana"/>
      <w:b/>
      <w:bCs/>
      <w:color w:val="000000"/>
      <w:sz w:val="17"/>
      <w:szCs w:val="17"/>
    </w:rPr>
  </w:style>
  <w:style w:type="character" w:customStyle="1" w:styleId="textopersonacargo">
    <w:name w:val="textopersonacargo"/>
    <w:basedOn w:val="Fuentedeprrafopredeter"/>
    <w:rPr>
      <w:rFonts w:ascii="Verdana" w:eastAsia="Verdana" w:hAnsi="Verdana" w:cs="Verdana"/>
      <w:b/>
      <w:bCs/>
      <w:color w:val="333333"/>
      <w:sz w:val="17"/>
      <w:szCs w:val="17"/>
    </w:rPr>
  </w:style>
  <w:style w:type="character" w:customStyle="1" w:styleId="textotitulo">
    <w:name w:val="textotitulo"/>
    <w:basedOn w:val="Fuentedeprrafopredeter"/>
    <w:rPr>
      <w:rFonts w:ascii="Verdana" w:eastAsia="Verdana" w:hAnsi="Verdana" w:cs="Verdana"/>
      <w:b/>
      <w:bCs/>
      <w:color w:val="000000"/>
      <w:sz w:val="17"/>
      <w:szCs w:val="17"/>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TextonotaalfinalCar">
    <w:name w:val="Texto nota al final Car"/>
    <w:basedOn w:val="Fuentedeprrafopredeter"/>
    <w:rPr>
      <w:sz w:val="20"/>
      <w:szCs w:val="18"/>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sz w:val="20"/>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styleId="Hipervnculovisitado">
    <w:name w:val="FollowedHyperlink"/>
    <w:basedOn w:val="Fuentedeprrafopredeter"/>
    <w:rPr>
      <w:color w:val="954F72"/>
      <w:u w:val="single"/>
    </w:rPr>
  </w:style>
  <w:style w:type="character" w:styleId="Refdenotaalpie">
    <w:name w:val="footnote reference"/>
    <w:basedOn w:val="Fuentedeprrafopredeter"/>
    <w:rPr>
      <w:position w:val="0"/>
      <w:vertAlign w:val="superscript"/>
    </w:rPr>
  </w:style>
  <w:style w:type="table" w:styleId="Tablaconcuadrcula">
    <w:name w:val="Table Grid"/>
    <w:basedOn w:val="Tablanormal"/>
    <w:uiPriority w:val="39"/>
    <w:rsid w:val="0038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29202">
      <w:bodyDiv w:val="1"/>
      <w:marLeft w:val="0"/>
      <w:marRight w:val="0"/>
      <w:marTop w:val="0"/>
      <w:marBottom w:val="0"/>
      <w:divBdr>
        <w:top w:val="none" w:sz="0" w:space="0" w:color="auto"/>
        <w:left w:val="none" w:sz="0" w:space="0" w:color="auto"/>
        <w:bottom w:val="none" w:sz="0" w:space="0" w:color="auto"/>
        <w:right w:val="none" w:sz="0" w:space="0" w:color="auto"/>
      </w:divBdr>
    </w:div>
    <w:div w:id="177381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moncloa.gob.es/presidente/actividades/Paginas/2020/031020toj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Fecha:</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insperfil</dc:creator>
  <cp:lastModifiedBy>Carlos De La Paz Represa</cp:lastModifiedBy>
  <cp:revision>2</cp:revision>
  <cp:lastPrinted>2020-10-05T06:19:00Z</cp:lastPrinted>
  <dcterms:created xsi:type="dcterms:W3CDTF">2020-10-20T09:18:00Z</dcterms:created>
  <dcterms:modified xsi:type="dcterms:W3CDTF">2020-10-20T09:18:00Z</dcterms:modified>
</cp:coreProperties>
</file>