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A156B" w14:textId="77777777" w:rsidR="00142995" w:rsidRPr="00824088" w:rsidRDefault="00142995" w:rsidP="00D227DF">
      <w:pPr>
        <w:spacing w:line="276" w:lineRule="auto"/>
        <w:ind w:hanging="993"/>
        <w:jc w:val="both"/>
        <w:rPr>
          <w:rFonts w:asciiTheme="minorHAnsi" w:hAnsiTheme="minorHAnsi" w:cstheme="minorHAnsi"/>
          <w:sz w:val="22"/>
          <w:szCs w:val="22"/>
        </w:rPr>
      </w:pPr>
    </w:p>
    <w:p w14:paraId="70B481FC" w14:textId="77777777" w:rsidR="00C50FF0" w:rsidRPr="00824088" w:rsidRDefault="00C50FF0" w:rsidP="00D227DF">
      <w:pPr>
        <w:spacing w:line="276" w:lineRule="auto"/>
        <w:ind w:hanging="993"/>
        <w:jc w:val="both"/>
        <w:rPr>
          <w:rFonts w:asciiTheme="minorHAnsi" w:hAnsiTheme="minorHAnsi" w:cstheme="minorHAnsi"/>
          <w:sz w:val="22"/>
          <w:szCs w:val="22"/>
        </w:rPr>
      </w:pPr>
    </w:p>
    <w:p w14:paraId="57EB91C3" w14:textId="77777777" w:rsidR="00C50FF0" w:rsidRPr="00824088" w:rsidRDefault="00C50FF0" w:rsidP="00D227DF">
      <w:pPr>
        <w:spacing w:line="276" w:lineRule="auto"/>
        <w:ind w:hanging="993"/>
        <w:jc w:val="both"/>
        <w:rPr>
          <w:rFonts w:asciiTheme="minorHAnsi" w:hAnsiTheme="minorHAnsi" w:cstheme="minorHAnsi"/>
          <w:sz w:val="22"/>
          <w:szCs w:val="22"/>
        </w:rPr>
      </w:pPr>
    </w:p>
    <w:p w14:paraId="2480BDE6" w14:textId="3E8AC507" w:rsidR="004E2593" w:rsidRPr="00B30385" w:rsidRDefault="004E2593" w:rsidP="00F209AA">
      <w:pPr>
        <w:spacing w:line="276" w:lineRule="auto"/>
        <w:ind w:right="-427"/>
        <w:jc w:val="both"/>
        <w:rPr>
          <w:rFonts w:ascii="Arial" w:eastAsiaTheme="minorHAnsi" w:hAnsi="Arial" w:cs="Arial"/>
          <w:b/>
          <w:bCs/>
          <w:sz w:val="22"/>
          <w:szCs w:val="22"/>
          <w:lang w:val="es-ES" w:eastAsia="en-US"/>
        </w:rPr>
      </w:pPr>
      <w:r w:rsidRPr="00B30385">
        <w:rPr>
          <w:rFonts w:ascii="Arial" w:eastAsiaTheme="minorHAnsi" w:hAnsi="Arial" w:cs="Arial"/>
          <w:b/>
          <w:bCs/>
          <w:sz w:val="22"/>
          <w:szCs w:val="22"/>
          <w:lang w:val="es-ES" w:eastAsia="en-US"/>
        </w:rPr>
        <w:t xml:space="preserve">Acuerdo de </w:t>
      </w:r>
      <w:r w:rsidRPr="00FD26C5">
        <w:rPr>
          <w:rFonts w:ascii="Arial" w:eastAsiaTheme="minorHAnsi" w:hAnsi="Arial" w:cs="Arial"/>
          <w:b/>
          <w:bCs/>
          <w:sz w:val="22"/>
          <w:szCs w:val="22"/>
          <w:lang w:val="es-ES" w:eastAsia="en-US"/>
        </w:rPr>
        <w:t>Conferencia Sectorial de Tu</w:t>
      </w:r>
      <w:r w:rsidR="009E556A" w:rsidRPr="00FD26C5">
        <w:rPr>
          <w:rFonts w:ascii="Arial" w:eastAsiaTheme="minorHAnsi" w:hAnsi="Arial" w:cs="Arial"/>
          <w:b/>
          <w:bCs/>
          <w:sz w:val="22"/>
          <w:szCs w:val="22"/>
          <w:lang w:val="es-ES" w:eastAsia="en-US"/>
        </w:rPr>
        <w:t xml:space="preserve">rismo </w:t>
      </w:r>
      <w:r w:rsidR="00054BDF" w:rsidRPr="00FD26C5">
        <w:rPr>
          <w:rFonts w:ascii="Arial" w:eastAsiaTheme="minorHAnsi" w:hAnsi="Arial" w:cs="Arial"/>
          <w:b/>
          <w:bCs/>
          <w:sz w:val="22"/>
          <w:szCs w:val="22"/>
          <w:lang w:val="es-ES" w:eastAsia="en-US"/>
        </w:rPr>
        <w:t xml:space="preserve">por el que se </w:t>
      </w:r>
      <w:r w:rsidR="00B21AF4" w:rsidRPr="00FD26C5">
        <w:rPr>
          <w:rFonts w:ascii="Arial" w:eastAsiaTheme="minorHAnsi" w:hAnsi="Arial" w:cs="Arial"/>
          <w:b/>
          <w:bCs/>
          <w:sz w:val="22"/>
          <w:szCs w:val="22"/>
          <w:lang w:val="es-ES" w:eastAsia="en-US"/>
        </w:rPr>
        <w:t xml:space="preserve">fijan los criterios de distribución, así como </w:t>
      </w:r>
      <w:r w:rsidR="003320D5" w:rsidRPr="00FD26C5">
        <w:rPr>
          <w:rFonts w:ascii="Arial" w:eastAsiaTheme="minorHAnsi" w:hAnsi="Arial" w:cs="Arial"/>
          <w:b/>
          <w:bCs/>
          <w:sz w:val="22"/>
          <w:szCs w:val="22"/>
          <w:lang w:val="es-ES" w:eastAsia="en-US"/>
        </w:rPr>
        <w:t>el reparto resultante para las comunidades autónomas, del crédito destinado a</w:t>
      </w:r>
      <w:r w:rsidR="00054BDF" w:rsidRPr="00FD26C5">
        <w:rPr>
          <w:rFonts w:ascii="Arial" w:eastAsiaTheme="minorHAnsi" w:hAnsi="Arial" w:cs="Arial"/>
          <w:b/>
          <w:bCs/>
          <w:sz w:val="22"/>
          <w:szCs w:val="22"/>
          <w:lang w:val="es-ES" w:eastAsia="en-US"/>
        </w:rPr>
        <w:t xml:space="preserve"> la financiación de actuaciones de inversión</w:t>
      </w:r>
      <w:r w:rsidR="003320D5" w:rsidRPr="00FD26C5">
        <w:rPr>
          <w:rFonts w:ascii="Arial" w:eastAsiaTheme="minorHAnsi" w:hAnsi="Arial" w:cs="Arial"/>
          <w:b/>
          <w:bCs/>
          <w:sz w:val="22"/>
          <w:szCs w:val="22"/>
          <w:lang w:val="es-ES" w:eastAsia="en-US"/>
        </w:rPr>
        <w:t xml:space="preserve"> por parte de entidades locales</w:t>
      </w:r>
      <w:r w:rsidR="00054BDF" w:rsidRPr="00B30385">
        <w:rPr>
          <w:rFonts w:ascii="Arial" w:eastAsiaTheme="minorHAnsi" w:hAnsi="Arial" w:cs="Arial"/>
          <w:b/>
          <w:bCs/>
          <w:sz w:val="22"/>
          <w:szCs w:val="22"/>
          <w:lang w:val="es-ES" w:eastAsia="en-US"/>
        </w:rPr>
        <w:t xml:space="preserve"> en el marco del Componente 14 Inversión 1 del Plan de Recuperación, Transformación y Resiliencia, por un importe total de </w:t>
      </w:r>
      <w:r w:rsidR="00B411FB" w:rsidRPr="00B411FB">
        <w:rPr>
          <w:rFonts w:ascii="Arial" w:eastAsiaTheme="minorHAnsi" w:hAnsi="Arial" w:cs="Arial"/>
          <w:b/>
          <w:bCs/>
          <w:sz w:val="22"/>
          <w:szCs w:val="22"/>
          <w:lang w:val="es-ES" w:eastAsia="en-US"/>
        </w:rPr>
        <w:t>478.000.000,00</w:t>
      </w:r>
      <w:r w:rsidR="00B411FB">
        <w:rPr>
          <w:rFonts w:ascii="Arial" w:hAnsi="Arial" w:cs="Arial"/>
          <w:b/>
          <w:bCs/>
          <w:sz w:val="24"/>
        </w:rPr>
        <w:t xml:space="preserve"> </w:t>
      </w:r>
      <w:r w:rsidR="00980F4D">
        <w:rPr>
          <w:rFonts w:ascii="Arial" w:eastAsiaTheme="minorHAnsi" w:hAnsi="Arial" w:cs="Arial"/>
          <w:b/>
          <w:bCs/>
          <w:sz w:val="22"/>
          <w:szCs w:val="22"/>
          <w:lang w:val="es-ES" w:eastAsia="en-US"/>
        </w:rPr>
        <w:t>euros para el ejercicio 202</w:t>
      </w:r>
      <w:r w:rsidR="00B411FB">
        <w:rPr>
          <w:rFonts w:ascii="Arial" w:eastAsiaTheme="minorHAnsi" w:hAnsi="Arial" w:cs="Arial"/>
          <w:b/>
          <w:bCs/>
          <w:sz w:val="22"/>
          <w:szCs w:val="22"/>
          <w:lang w:val="es-ES" w:eastAsia="en-US"/>
        </w:rPr>
        <w:t>3</w:t>
      </w:r>
      <w:r w:rsidR="00C850D3" w:rsidRPr="00B30385">
        <w:rPr>
          <w:rFonts w:ascii="Arial" w:eastAsiaTheme="minorHAnsi" w:hAnsi="Arial" w:cs="Arial"/>
          <w:b/>
          <w:bCs/>
          <w:sz w:val="22"/>
          <w:szCs w:val="22"/>
          <w:lang w:val="es-ES" w:eastAsia="en-US"/>
        </w:rPr>
        <w:t>.</w:t>
      </w:r>
      <w:r w:rsidR="00054BDF" w:rsidRPr="00B30385">
        <w:rPr>
          <w:rFonts w:ascii="Arial" w:eastAsiaTheme="minorHAnsi" w:hAnsi="Arial" w:cs="Arial"/>
          <w:b/>
          <w:bCs/>
          <w:sz w:val="22"/>
          <w:szCs w:val="22"/>
          <w:lang w:val="es-ES" w:eastAsia="en-US"/>
        </w:rPr>
        <w:t xml:space="preserve"> </w:t>
      </w:r>
    </w:p>
    <w:p w14:paraId="7A01DC58" w14:textId="77777777" w:rsidR="004E2593" w:rsidRPr="00B30385" w:rsidRDefault="004E2593" w:rsidP="00F209AA">
      <w:pPr>
        <w:spacing w:line="276" w:lineRule="auto"/>
        <w:ind w:right="-427"/>
        <w:jc w:val="both"/>
        <w:rPr>
          <w:rFonts w:ascii="Arial" w:eastAsiaTheme="minorHAnsi" w:hAnsi="Arial" w:cs="Arial"/>
          <w:bCs/>
          <w:sz w:val="22"/>
          <w:szCs w:val="22"/>
          <w:lang w:val="es-ES" w:eastAsia="en-US"/>
        </w:rPr>
      </w:pPr>
    </w:p>
    <w:p w14:paraId="22013082" w14:textId="640B3F13" w:rsidR="00905FA4" w:rsidRPr="00B30385" w:rsidRDefault="00905FA4" w:rsidP="00F209AA">
      <w:pPr>
        <w:autoSpaceDE w:val="0"/>
        <w:autoSpaceDN w:val="0"/>
        <w:adjustRightInd w:val="0"/>
        <w:spacing w:line="276" w:lineRule="auto"/>
        <w:ind w:right="-427"/>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En el </w:t>
      </w:r>
      <w:r w:rsidR="003279DF" w:rsidRPr="00B30385">
        <w:rPr>
          <w:rFonts w:ascii="Arial" w:eastAsiaTheme="minorHAnsi" w:hAnsi="Arial" w:cs="Arial"/>
          <w:bCs/>
          <w:sz w:val="22"/>
          <w:szCs w:val="22"/>
          <w:lang w:val="es-ES" w:eastAsia="en-US"/>
        </w:rPr>
        <w:t>Plan de Recuperación, Transformación y Resiliencia (</w:t>
      </w:r>
      <w:r w:rsidR="0015470D" w:rsidRPr="00B30385">
        <w:rPr>
          <w:rFonts w:ascii="Arial" w:eastAsiaTheme="minorHAnsi" w:hAnsi="Arial" w:cs="Arial"/>
          <w:bCs/>
          <w:sz w:val="22"/>
          <w:szCs w:val="22"/>
          <w:lang w:val="es-ES" w:eastAsia="en-US"/>
        </w:rPr>
        <w:t>PRTR</w:t>
      </w:r>
      <w:r w:rsidR="003279DF" w:rsidRPr="00B30385">
        <w:rPr>
          <w:rFonts w:ascii="Arial" w:eastAsiaTheme="minorHAnsi" w:hAnsi="Arial" w:cs="Arial"/>
          <w:bCs/>
          <w:sz w:val="22"/>
          <w:szCs w:val="22"/>
          <w:lang w:val="es-ES" w:eastAsia="en-US"/>
        </w:rPr>
        <w:t>)</w:t>
      </w:r>
      <w:r w:rsidRPr="00B30385">
        <w:rPr>
          <w:rFonts w:ascii="Arial" w:eastAsiaTheme="minorHAnsi" w:hAnsi="Arial" w:cs="Arial"/>
          <w:bCs/>
          <w:sz w:val="22"/>
          <w:szCs w:val="22"/>
          <w:lang w:val="es-ES" w:eastAsia="en-US"/>
        </w:rPr>
        <w:t>, y como parte del Componente 14, se ha incluido</w:t>
      </w:r>
      <w:r w:rsidR="0015470D" w:rsidRPr="00B30385">
        <w:rPr>
          <w:rFonts w:ascii="Arial" w:eastAsiaTheme="minorHAnsi" w:hAnsi="Arial" w:cs="Arial"/>
          <w:bCs/>
          <w:sz w:val="22"/>
          <w:szCs w:val="22"/>
          <w:lang w:val="es-ES" w:eastAsia="en-US"/>
        </w:rPr>
        <w:t xml:space="preserve"> la l</w:t>
      </w:r>
      <w:r w:rsidRPr="00B30385">
        <w:rPr>
          <w:rFonts w:ascii="Arial" w:eastAsiaTheme="minorHAnsi" w:hAnsi="Arial" w:cs="Arial"/>
          <w:bCs/>
          <w:sz w:val="22"/>
          <w:szCs w:val="22"/>
          <w:lang w:val="es-ES" w:eastAsia="en-US"/>
        </w:rPr>
        <w:t>ínea de inversión de Transformación del modelo turístico hacia la sostenibilidad, que incluye el Programa de Planes de Sostenibilidad Turística en Destinos</w:t>
      </w:r>
      <w:r w:rsidR="00DC3766" w:rsidRPr="00B30385">
        <w:rPr>
          <w:rFonts w:ascii="Arial" w:eastAsiaTheme="minorHAnsi" w:hAnsi="Arial" w:cs="Arial"/>
          <w:bCs/>
          <w:sz w:val="22"/>
          <w:szCs w:val="22"/>
          <w:lang w:val="es-ES" w:eastAsia="en-US"/>
        </w:rPr>
        <w:t xml:space="preserve"> como </w:t>
      </w:r>
      <w:r w:rsidR="00DC3766" w:rsidRPr="00B30385">
        <w:rPr>
          <w:rFonts w:ascii="Arial" w:eastAsiaTheme="minorHAnsi" w:hAnsi="Arial" w:cs="Arial"/>
          <w:b/>
          <w:bCs/>
          <w:sz w:val="22"/>
          <w:szCs w:val="22"/>
          <w:lang w:val="es-ES" w:eastAsia="en-US"/>
        </w:rPr>
        <w:t>submedida 2</w:t>
      </w:r>
      <w:r w:rsidR="0052341B" w:rsidRPr="00B30385">
        <w:rPr>
          <w:rFonts w:ascii="Arial" w:eastAsiaTheme="minorHAnsi" w:hAnsi="Arial" w:cs="Arial"/>
          <w:b/>
          <w:bCs/>
          <w:sz w:val="22"/>
          <w:szCs w:val="22"/>
          <w:lang w:val="es-ES" w:eastAsia="en-US"/>
        </w:rPr>
        <w:t xml:space="preserve"> </w:t>
      </w:r>
      <w:r w:rsidR="00A9004E" w:rsidRPr="00B30385">
        <w:rPr>
          <w:rFonts w:ascii="Arial" w:eastAsiaTheme="minorHAnsi" w:hAnsi="Arial" w:cs="Arial"/>
          <w:b/>
          <w:bCs/>
          <w:sz w:val="22"/>
          <w:szCs w:val="22"/>
          <w:lang w:val="es-ES" w:eastAsia="en-US"/>
        </w:rPr>
        <w:t>de la inversión 1</w:t>
      </w:r>
      <w:r w:rsidR="00B3059B" w:rsidRPr="00B30385">
        <w:rPr>
          <w:rFonts w:ascii="Arial" w:eastAsiaTheme="minorHAnsi" w:hAnsi="Arial" w:cs="Arial"/>
          <w:b/>
          <w:bCs/>
          <w:sz w:val="22"/>
          <w:szCs w:val="22"/>
          <w:lang w:val="es-ES" w:eastAsia="en-US"/>
        </w:rPr>
        <w:t xml:space="preserve"> (C14.I1)</w:t>
      </w:r>
      <w:r w:rsidR="00B3059B" w:rsidRPr="00B30385">
        <w:rPr>
          <w:rFonts w:ascii="Arial" w:eastAsiaTheme="minorHAnsi" w:hAnsi="Arial" w:cs="Arial"/>
          <w:bCs/>
          <w:sz w:val="22"/>
          <w:szCs w:val="22"/>
          <w:lang w:val="es-ES" w:eastAsia="en-US"/>
        </w:rPr>
        <w:t>,</w:t>
      </w:r>
      <w:r w:rsidR="00A9004E" w:rsidRPr="00B30385">
        <w:rPr>
          <w:rFonts w:ascii="Arial" w:eastAsiaTheme="minorHAnsi" w:hAnsi="Arial" w:cs="Arial"/>
          <w:bCs/>
          <w:sz w:val="22"/>
          <w:szCs w:val="22"/>
          <w:lang w:val="es-ES" w:eastAsia="en-US"/>
        </w:rPr>
        <w:t xml:space="preserve"> </w:t>
      </w:r>
      <w:r w:rsidR="0052341B" w:rsidRPr="00B30385">
        <w:rPr>
          <w:rFonts w:ascii="Arial" w:eastAsiaTheme="minorHAnsi" w:hAnsi="Arial" w:cs="Arial"/>
          <w:bCs/>
          <w:sz w:val="22"/>
          <w:szCs w:val="22"/>
          <w:lang w:val="es-ES" w:eastAsia="en-US"/>
        </w:rPr>
        <w:t>en tanto que</w:t>
      </w:r>
      <w:r w:rsidRPr="00B30385">
        <w:rPr>
          <w:rFonts w:ascii="Arial" w:eastAsiaTheme="minorHAnsi" w:hAnsi="Arial" w:cs="Arial"/>
          <w:bCs/>
          <w:sz w:val="22"/>
          <w:szCs w:val="22"/>
          <w:lang w:val="es-ES" w:eastAsia="en-US"/>
        </w:rPr>
        <w:t xml:space="preserve"> mecanismo de actuación cooperada entre los tres niveles de la Administración. </w:t>
      </w:r>
      <w:r w:rsidR="0052341B" w:rsidRPr="00B30385">
        <w:rPr>
          <w:rFonts w:ascii="Arial" w:eastAsiaTheme="minorHAnsi" w:hAnsi="Arial" w:cs="Arial"/>
          <w:bCs/>
          <w:sz w:val="22"/>
          <w:szCs w:val="22"/>
          <w:lang w:val="es-ES" w:eastAsia="en-US"/>
        </w:rPr>
        <w:t xml:space="preserve"> Este p</w:t>
      </w:r>
      <w:r w:rsidRPr="00B30385">
        <w:rPr>
          <w:rFonts w:ascii="Arial" w:eastAsiaTheme="minorHAnsi" w:hAnsi="Arial" w:cs="Arial"/>
          <w:bCs/>
          <w:sz w:val="22"/>
          <w:szCs w:val="22"/>
          <w:lang w:val="es-ES" w:eastAsia="en-US"/>
        </w:rPr>
        <w:t xml:space="preserve">rograma financia proyectos cuyos créditos serán objeto de territorialización. </w:t>
      </w:r>
      <w:r w:rsidR="00CC427F" w:rsidRPr="00B30385">
        <w:rPr>
          <w:rFonts w:ascii="Arial" w:eastAsiaTheme="minorHAnsi" w:hAnsi="Arial" w:cs="Arial"/>
          <w:bCs/>
          <w:sz w:val="22"/>
          <w:szCs w:val="22"/>
          <w:lang w:val="es-ES" w:eastAsia="en-US"/>
        </w:rPr>
        <w:t>Además</w:t>
      </w:r>
      <w:r w:rsidRPr="00B30385">
        <w:rPr>
          <w:rFonts w:ascii="Arial" w:eastAsiaTheme="minorHAnsi" w:hAnsi="Arial" w:cs="Arial"/>
          <w:bCs/>
          <w:sz w:val="22"/>
          <w:szCs w:val="22"/>
          <w:lang w:val="es-ES" w:eastAsia="en-US"/>
        </w:rPr>
        <w:t xml:space="preserve">, </w:t>
      </w:r>
      <w:r w:rsidR="00CC427F" w:rsidRPr="00B30385">
        <w:rPr>
          <w:rFonts w:ascii="Arial" w:eastAsiaTheme="minorHAnsi" w:hAnsi="Arial" w:cs="Arial"/>
          <w:bCs/>
          <w:sz w:val="22"/>
          <w:szCs w:val="22"/>
          <w:lang w:val="es-ES" w:eastAsia="en-US"/>
        </w:rPr>
        <w:t xml:space="preserve">con base </w:t>
      </w:r>
      <w:r w:rsidR="00B3059B" w:rsidRPr="00B30385">
        <w:rPr>
          <w:rFonts w:ascii="Arial" w:eastAsiaTheme="minorHAnsi" w:hAnsi="Arial" w:cs="Arial"/>
          <w:bCs/>
          <w:sz w:val="22"/>
          <w:szCs w:val="22"/>
          <w:lang w:val="es-ES" w:eastAsia="en-US"/>
        </w:rPr>
        <w:t>en la</w:t>
      </w:r>
      <w:r w:rsidRPr="00B30385">
        <w:rPr>
          <w:rFonts w:ascii="Arial" w:eastAsiaTheme="minorHAnsi" w:hAnsi="Arial" w:cs="Arial"/>
          <w:bCs/>
          <w:sz w:val="22"/>
          <w:szCs w:val="22"/>
          <w:lang w:val="es-ES" w:eastAsia="en-US"/>
        </w:rPr>
        <w:t xml:space="preserve"> Estrategia de Sostenibilidad </w:t>
      </w:r>
      <w:r w:rsidR="00A34DE5" w:rsidRPr="00B30385">
        <w:rPr>
          <w:rFonts w:ascii="Arial" w:eastAsiaTheme="minorHAnsi" w:hAnsi="Arial" w:cs="Arial"/>
          <w:bCs/>
          <w:sz w:val="22"/>
          <w:szCs w:val="22"/>
          <w:lang w:val="es-ES" w:eastAsia="en-US"/>
        </w:rPr>
        <w:t xml:space="preserve">Turística </w:t>
      </w:r>
      <w:r w:rsidRPr="00B30385">
        <w:rPr>
          <w:rFonts w:ascii="Arial" w:eastAsiaTheme="minorHAnsi" w:hAnsi="Arial" w:cs="Arial"/>
          <w:bCs/>
          <w:sz w:val="22"/>
          <w:szCs w:val="22"/>
          <w:lang w:val="es-ES" w:eastAsia="en-US"/>
        </w:rPr>
        <w:t>en Destinos, fija las condi</w:t>
      </w:r>
      <w:r w:rsidR="00C850D3" w:rsidRPr="00B30385">
        <w:rPr>
          <w:rFonts w:ascii="Arial" w:eastAsiaTheme="minorHAnsi" w:hAnsi="Arial" w:cs="Arial"/>
          <w:bCs/>
          <w:sz w:val="22"/>
          <w:szCs w:val="22"/>
          <w:lang w:val="es-ES" w:eastAsia="en-US"/>
        </w:rPr>
        <w:t>ciones de participación de las comunidades autónomas y las entidades l</w:t>
      </w:r>
      <w:r w:rsidRPr="00B30385">
        <w:rPr>
          <w:rFonts w:ascii="Arial" w:eastAsiaTheme="minorHAnsi" w:hAnsi="Arial" w:cs="Arial"/>
          <w:bCs/>
          <w:sz w:val="22"/>
          <w:szCs w:val="22"/>
          <w:lang w:val="es-ES" w:eastAsia="en-US"/>
        </w:rPr>
        <w:t>ocales, los ámbitos de aplicación, los umbrales mínimos de inversión, el procedimiento de presentación de las propuestas y las reglas para su aprobación, ejecución y justificación.</w:t>
      </w:r>
      <w:r w:rsidR="00980F4D">
        <w:rPr>
          <w:rFonts w:ascii="Arial" w:eastAsiaTheme="minorHAnsi" w:hAnsi="Arial" w:cs="Arial"/>
          <w:bCs/>
          <w:sz w:val="22"/>
          <w:szCs w:val="22"/>
          <w:lang w:val="es-ES" w:eastAsia="en-US"/>
        </w:rPr>
        <w:t xml:space="preserve"> </w:t>
      </w:r>
      <w:r w:rsidR="00980F4D" w:rsidRPr="00980F4D">
        <w:rPr>
          <w:rFonts w:ascii="Arial" w:eastAsiaTheme="minorHAnsi" w:hAnsi="Arial" w:cs="Arial"/>
          <w:bCs/>
          <w:sz w:val="22"/>
          <w:szCs w:val="22"/>
          <w:lang w:val="es-ES" w:eastAsia="en-US"/>
        </w:rPr>
        <w:t xml:space="preserve">En el pasado ejercicio se produjo ya la transferencia de </w:t>
      </w:r>
      <w:r w:rsidR="00B411FB">
        <w:rPr>
          <w:rFonts w:ascii="Arial" w:eastAsiaTheme="minorHAnsi" w:hAnsi="Arial" w:cs="Arial"/>
          <w:bCs/>
          <w:sz w:val="22"/>
          <w:szCs w:val="22"/>
          <w:lang w:val="es-ES" w:eastAsia="en-US"/>
        </w:rPr>
        <w:t>719</w:t>
      </w:r>
      <w:r w:rsidR="00980F4D" w:rsidRPr="00980F4D">
        <w:rPr>
          <w:rFonts w:ascii="Arial" w:eastAsiaTheme="minorHAnsi" w:hAnsi="Arial" w:cs="Arial"/>
          <w:bCs/>
          <w:sz w:val="22"/>
          <w:szCs w:val="22"/>
          <w:lang w:val="es-ES" w:eastAsia="en-US"/>
        </w:rPr>
        <w:t>.</w:t>
      </w:r>
      <w:r w:rsidR="00B411FB">
        <w:rPr>
          <w:rFonts w:ascii="Arial" w:eastAsiaTheme="minorHAnsi" w:hAnsi="Arial" w:cs="Arial"/>
          <w:bCs/>
          <w:sz w:val="22"/>
          <w:szCs w:val="22"/>
          <w:lang w:val="es-ES" w:eastAsia="en-US"/>
        </w:rPr>
        <w:t>790</w:t>
      </w:r>
      <w:r w:rsidR="00980F4D" w:rsidRPr="00980F4D">
        <w:rPr>
          <w:rFonts w:ascii="Arial" w:eastAsiaTheme="minorHAnsi" w:hAnsi="Arial" w:cs="Arial"/>
          <w:bCs/>
          <w:sz w:val="22"/>
          <w:szCs w:val="22"/>
          <w:lang w:val="es-ES" w:eastAsia="en-US"/>
        </w:rPr>
        <w:t xml:space="preserve">.000 euros para contribuir a la convocatoria del programa correspondiente al año </w:t>
      </w:r>
      <w:r w:rsidR="00B411FB" w:rsidRPr="00980F4D">
        <w:rPr>
          <w:rFonts w:ascii="Arial" w:eastAsiaTheme="minorHAnsi" w:hAnsi="Arial" w:cs="Arial"/>
          <w:bCs/>
          <w:sz w:val="22"/>
          <w:szCs w:val="22"/>
          <w:lang w:val="es-ES" w:eastAsia="en-US"/>
        </w:rPr>
        <w:t>202</w:t>
      </w:r>
      <w:r w:rsidR="00B411FB">
        <w:rPr>
          <w:rFonts w:ascii="Arial" w:eastAsiaTheme="minorHAnsi" w:hAnsi="Arial" w:cs="Arial"/>
          <w:bCs/>
          <w:sz w:val="22"/>
          <w:szCs w:val="22"/>
          <w:lang w:val="es-ES" w:eastAsia="en-US"/>
        </w:rPr>
        <w:t>2</w:t>
      </w:r>
      <w:r w:rsidR="00980F4D" w:rsidRPr="00980F4D">
        <w:rPr>
          <w:rFonts w:ascii="Arial" w:eastAsiaTheme="minorHAnsi" w:hAnsi="Arial" w:cs="Arial"/>
          <w:bCs/>
          <w:sz w:val="22"/>
          <w:szCs w:val="22"/>
          <w:lang w:val="es-ES" w:eastAsia="en-US"/>
        </w:rPr>
        <w:t>.</w:t>
      </w:r>
    </w:p>
    <w:p w14:paraId="58EB597D" w14:textId="77777777" w:rsidR="00905FA4" w:rsidRPr="00B30385" w:rsidRDefault="00905FA4" w:rsidP="00F209AA">
      <w:pPr>
        <w:autoSpaceDE w:val="0"/>
        <w:autoSpaceDN w:val="0"/>
        <w:adjustRightInd w:val="0"/>
        <w:spacing w:line="276" w:lineRule="auto"/>
        <w:ind w:right="-427"/>
        <w:jc w:val="both"/>
        <w:rPr>
          <w:rFonts w:ascii="Arial" w:eastAsiaTheme="minorHAnsi" w:hAnsi="Arial" w:cs="Arial"/>
          <w:bCs/>
          <w:sz w:val="22"/>
          <w:szCs w:val="22"/>
          <w:lang w:val="es-ES" w:eastAsia="en-US"/>
        </w:rPr>
      </w:pPr>
    </w:p>
    <w:p w14:paraId="22AEB6AE" w14:textId="61401171" w:rsidR="00905FA4" w:rsidRPr="00B30385" w:rsidRDefault="007F1D94" w:rsidP="00F209AA">
      <w:pPr>
        <w:autoSpaceDE w:val="0"/>
        <w:autoSpaceDN w:val="0"/>
        <w:adjustRightInd w:val="0"/>
        <w:spacing w:line="276" w:lineRule="auto"/>
        <w:ind w:right="-427"/>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De esta forma, d</w:t>
      </w:r>
      <w:r w:rsidR="00CC427F" w:rsidRPr="00B30385">
        <w:rPr>
          <w:rFonts w:ascii="Arial" w:eastAsiaTheme="minorHAnsi" w:hAnsi="Arial" w:cs="Arial"/>
          <w:bCs/>
          <w:sz w:val="22"/>
          <w:szCs w:val="22"/>
          <w:lang w:val="es-ES" w:eastAsia="en-US"/>
        </w:rPr>
        <w:t>e acuerdo con el</w:t>
      </w:r>
      <w:r w:rsidR="00905FA4" w:rsidRPr="00B30385">
        <w:rPr>
          <w:rFonts w:ascii="Arial" w:eastAsiaTheme="minorHAnsi" w:hAnsi="Arial" w:cs="Arial"/>
          <w:bCs/>
          <w:sz w:val="22"/>
          <w:szCs w:val="22"/>
          <w:lang w:val="es-ES" w:eastAsia="en-US"/>
        </w:rPr>
        <w:t xml:space="preserve"> Programa de Planes de Sostenibilidad Turística en Destino, las</w:t>
      </w:r>
      <w:r w:rsidR="00DD3807" w:rsidRPr="00B30385">
        <w:rPr>
          <w:rFonts w:ascii="Arial" w:eastAsiaTheme="minorHAnsi" w:hAnsi="Arial" w:cs="Arial"/>
          <w:bCs/>
          <w:sz w:val="22"/>
          <w:szCs w:val="22"/>
          <w:lang w:val="es-ES" w:eastAsia="en-US"/>
        </w:rPr>
        <w:t xml:space="preserve"> comunidades a</w:t>
      </w:r>
      <w:r w:rsidR="00905FA4" w:rsidRPr="00B30385">
        <w:rPr>
          <w:rFonts w:ascii="Arial" w:eastAsiaTheme="minorHAnsi" w:hAnsi="Arial" w:cs="Arial"/>
          <w:bCs/>
          <w:sz w:val="22"/>
          <w:szCs w:val="22"/>
          <w:lang w:val="es-ES" w:eastAsia="en-US"/>
        </w:rPr>
        <w:t xml:space="preserve">utónomas presentan los distintos Planes Territoriales de Sostenibilidad Turística en Destinos (en adelante, Planes Territoriales). Los Planes Territoriales se elaboran mediante un proceso participativo y de colaboración entre las tres administraciones públicas </w:t>
      </w:r>
      <w:r w:rsidR="00905FA4" w:rsidRPr="00E1709F">
        <w:rPr>
          <w:rFonts w:ascii="Arial" w:eastAsiaTheme="minorHAnsi" w:hAnsi="Arial" w:cs="Arial"/>
          <w:bCs/>
          <w:sz w:val="22"/>
          <w:szCs w:val="22"/>
          <w:lang w:val="es-ES" w:eastAsia="en-US"/>
        </w:rPr>
        <w:t>competentes y los diferentes actores públicos y privados del ec</w:t>
      </w:r>
      <w:r w:rsidR="00F35EF6" w:rsidRPr="00E1709F">
        <w:rPr>
          <w:rFonts w:ascii="Arial" w:eastAsiaTheme="minorHAnsi" w:hAnsi="Arial" w:cs="Arial"/>
          <w:bCs/>
          <w:sz w:val="22"/>
          <w:szCs w:val="22"/>
          <w:lang w:val="es-ES" w:eastAsia="en-US"/>
        </w:rPr>
        <w:t>osistema turístico del destino e incluyen también las ayudas correspondientes al Plan Nacional</w:t>
      </w:r>
      <w:r w:rsidR="00504E9D">
        <w:rPr>
          <w:rFonts w:ascii="Arial" w:eastAsiaTheme="minorHAnsi" w:hAnsi="Arial" w:cs="Arial"/>
          <w:bCs/>
          <w:sz w:val="22"/>
          <w:szCs w:val="22"/>
          <w:lang w:val="es-ES" w:eastAsia="en-US"/>
        </w:rPr>
        <w:t xml:space="preserve"> </w:t>
      </w:r>
      <w:r w:rsidR="00F35EF6" w:rsidRPr="00E1709F">
        <w:rPr>
          <w:rFonts w:ascii="Arial" w:eastAsiaTheme="minorHAnsi" w:hAnsi="Arial" w:cs="Arial"/>
          <w:bCs/>
          <w:sz w:val="22"/>
          <w:szCs w:val="22"/>
          <w:lang w:val="es-ES" w:eastAsia="en-US"/>
        </w:rPr>
        <w:t xml:space="preserve">de Turismo </w:t>
      </w:r>
      <w:r w:rsidR="00B411FB">
        <w:rPr>
          <w:rFonts w:ascii="Arial" w:eastAsiaTheme="minorHAnsi" w:hAnsi="Arial" w:cs="Arial"/>
          <w:bCs/>
          <w:sz w:val="22"/>
          <w:szCs w:val="22"/>
          <w:lang w:val="es-ES" w:eastAsia="en-US"/>
        </w:rPr>
        <w:t>Sol y Playa/Turismo Azul</w:t>
      </w:r>
      <w:r w:rsidR="004D451B">
        <w:rPr>
          <w:rFonts w:ascii="Arial" w:eastAsiaTheme="minorHAnsi" w:hAnsi="Arial" w:cs="Arial"/>
          <w:bCs/>
          <w:sz w:val="22"/>
          <w:szCs w:val="22"/>
          <w:lang w:val="es-ES" w:eastAsia="en-US"/>
        </w:rPr>
        <w:t xml:space="preserve"> </w:t>
      </w:r>
      <w:r w:rsidR="00B411FB" w:rsidRPr="00E1709F">
        <w:rPr>
          <w:rFonts w:ascii="Arial" w:eastAsiaTheme="minorHAnsi" w:hAnsi="Arial" w:cs="Arial"/>
          <w:bCs/>
          <w:sz w:val="22"/>
          <w:szCs w:val="22"/>
          <w:lang w:val="es-ES" w:eastAsia="en-US"/>
        </w:rPr>
        <w:t>202</w:t>
      </w:r>
      <w:r w:rsidR="00B411FB">
        <w:rPr>
          <w:rFonts w:ascii="Arial" w:eastAsiaTheme="minorHAnsi" w:hAnsi="Arial" w:cs="Arial"/>
          <w:bCs/>
          <w:sz w:val="22"/>
          <w:szCs w:val="22"/>
          <w:lang w:val="es-ES" w:eastAsia="en-US"/>
        </w:rPr>
        <w:t>3</w:t>
      </w:r>
      <w:r w:rsidR="00F35EF6" w:rsidRPr="00E1709F">
        <w:rPr>
          <w:rFonts w:ascii="Arial" w:eastAsiaTheme="minorHAnsi" w:hAnsi="Arial" w:cs="Arial"/>
          <w:bCs/>
          <w:sz w:val="22"/>
          <w:szCs w:val="22"/>
          <w:lang w:val="es-ES" w:eastAsia="en-US"/>
        </w:rPr>
        <w:t>.</w:t>
      </w:r>
    </w:p>
    <w:p w14:paraId="0829587B" w14:textId="77777777" w:rsidR="00905FA4" w:rsidRPr="00B30385" w:rsidRDefault="00905FA4" w:rsidP="00F209AA">
      <w:pPr>
        <w:autoSpaceDE w:val="0"/>
        <w:autoSpaceDN w:val="0"/>
        <w:adjustRightInd w:val="0"/>
        <w:spacing w:line="276" w:lineRule="auto"/>
        <w:ind w:right="-427"/>
        <w:jc w:val="both"/>
        <w:rPr>
          <w:rFonts w:ascii="Arial" w:eastAsiaTheme="minorHAnsi" w:hAnsi="Arial" w:cs="Arial"/>
          <w:bCs/>
          <w:sz w:val="22"/>
          <w:szCs w:val="22"/>
          <w:lang w:val="es-ES" w:eastAsia="en-US"/>
        </w:rPr>
      </w:pPr>
    </w:p>
    <w:p w14:paraId="23A307AE" w14:textId="6B3C87EB" w:rsidR="00905FA4" w:rsidRPr="00B30385" w:rsidRDefault="00905FA4" w:rsidP="00F209AA">
      <w:pPr>
        <w:autoSpaceDE w:val="0"/>
        <w:autoSpaceDN w:val="0"/>
        <w:adjustRightInd w:val="0"/>
        <w:spacing w:line="276" w:lineRule="auto"/>
        <w:ind w:right="-427"/>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La ejecución de los créditos consignados para las líneas de inversión citadas está sujeta a lo establecido en el artículo 86 de la Ley 47/2003, de 26 de noviembre, que regula los créditos gestionados por las </w:t>
      </w:r>
      <w:r w:rsidR="00D74D0D" w:rsidRPr="00B30385">
        <w:rPr>
          <w:rFonts w:ascii="Arial" w:eastAsiaTheme="minorHAnsi" w:hAnsi="Arial" w:cs="Arial"/>
          <w:bCs/>
          <w:sz w:val="22"/>
          <w:szCs w:val="22"/>
          <w:lang w:val="es-ES" w:eastAsia="en-US"/>
        </w:rPr>
        <w:t>comunidades autónomas</w:t>
      </w:r>
      <w:r w:rsidRPr="00B30385">
        <w:rPr>
          <w:rFonts w:ascii="Arial" w:eastAsiaTheme="minorHAnsi" w:hAnsi="Arial" w:cs="Arial"/>
          <w:bCs/>
          <w:sz w:val="22"/>
          <w:szCs w:val="22"/>
          <w:lang w:val="es-ES" w:eastAsia="en-US"/>
        </w:rPr>
        <w:t>.</w:t>
      </w:r>
    </w:p>
    <w:p w14:paraId="346D7968" w14:textId="77777777" w:rsidR="00905FA4" w:rsidRPr="00B30385" w:rsidRDefault="00905FA4" w:rsidP="00F209AA">
      <w:pPr>
        <w:autoSpaceDE w:val="0"/>
        <w:autoSpaceDN w:val="0"/>
        <w:adjustRightInd w:val="0"/>
        <w:spacing w:line="276" w:lineRule="auto"/>
        <w:ind w:right="-427"/>
        <w:jc w:val="both"/>
        <w:rPr>
          <w:rFonts w:ascii="Arial" w:eastAsiaTheme="minorHAnsi" w:hAnsi="Arial" w:cs="Arial"/>
          <w:bCs/>
          <w:sz w:val="22"/>
          <w:szCs w:val="22"/>
          <w:lang w:val="es-ES" w:eastAsia="en-US"/>
        </w:rPr>
      </w:pPr>
    </w:p>
    <w:p w14:paraId="406A6937" w14:textId="30265F11" w:rsidR="00905FA4" w:rsidRPr="00B30385" w:rsidRDefault="00905FA4" w:rsidP="00F209AA">
      <w:pPr>
        <w:autoSpaceDE w:val="0"/>
        <w:autoSpaceDN w:val="0"/>
        <w:adjustRightInd w:val="0"/>
        <w:spacing w:line="276" w:lineRule="auto"/>
        <w:ind w:right="-427"/>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No obstante, dado que las líneas de inversión reseñadas anteriormente serán financiadas con cargo al PRTR, les serán de aplicación las especialidades previstas en el artículo 44 del Real Decreto-ley 36/2020, de 30 de diciembre</w:t>
      </w:r>
      <w:r w:rsidR="00CC427F" w:rsidRPr="00B30385">
        <w:rPr>
          <w:rFonts w:ascii="Arial" w:eastAsiaTheme="minorHAnsi" w:hAnsi="Arial" w:cs="Arial"/>
          <w:bCs/>
          <w:sz w:val="22"/>
          <w:szCs w:val="22"/>
          <w:lang w:val="es-ES" w:eastAsia="en-US"/>
        </w:rPr>
        <w:t>, por el que se aprueban medidas urgentes para la modernización de la Administración Pública y para la ejecución del Plan de Recuperación, Transformación y Resiliencia</w:t>
      </w:r>
      <w:r w:rsidRPr="00B30385">
        <w:rPr>
          <w:rFonts w:ascii="Arial" w:eastAsiaTheme="minorHAnsi" w:hAnsi="Arial" w:cs="Arial"/>
          <w:bCs/>
          <w:sz w:val="22"/>
          <w:szCs w:val="22"/>
          <w:lang w:val="es-ES" w:eastAsia="en-US"/>
        </w:rPr>
        <w:t xml:space="preserve">. </w:t>
      </w:r>
    </w:p>
    <w:p w14:paraId="7F0F6589" w14:textId="2582BFE3" w:rsidR="004E2593" w:rsidRPr="00B30385" w:rsidRDefault="004E2593" w:rsidP="00F209AA">
      <w:pPr>
        <w:spacing w:line="276" w:lineRule="auto"/>
        <w:ind w:right="-427"/>
        <w:jc w:val="both"/>
        <w:rPr>
          <w:rFonts w:ascii="Arial" w:eastAsiaTheme="minorHAnsi" w:hAnsi="Arial" w:cs="Arial"/>
          <w:b/>
          <w:bCs/>
          <w:sz w:val="22"/>
          <w:szCs w:val="22"/>
          <w:lang w:val="es-ES" w:eastAsia="en-US"/>
        </w:rPr>
      </w:pPr>
    </w:p>
    <w:p w14:paraId="0CB74770" w14:textId="671ED6EC" w:rsidR="0076183B" w:rsidRPr="00B30385" w:rsidRDefault="004E2593" w:rsidP="00F209AA">
      <w:pPr>
        <w:autoSpaceDE w:val="0"/>
        <w:autoSpaceDN w:val="0"/>
        <w:adjustRightInd w:val="0"/>
        <w:spacing w:before="120" w:after="120" w:line="276" w:lineRule="auto"/>
        <w:ind w:right="-427"/>
        <w:jc w:val="both"/>
        <w:rPr>
          <w:rFonts w:ascii="Arial" w:eastAsiaTheme="minorHAnsi" w:hAnsi="Arial" w:cs="Arial"/>
          <w:bCs/>
          <w:sz w:val="22"/>
          <w:szCs w:val="22"/>
          <w:lang w:val="es-ES" w:eastAsia="en-US"/>
        </w:rPr>
      </w:pPr>
      <w:r w:rsidRPr="00B30385">
        <w:rPr>
          <w:rFonts w:ascii="Arial" w:eastAsiaTheme="minorHAnsi" w:hAnsi="Arial" w:cs="Arial"/>
          <w:b/>
          <w:bCs/>
          <w:sz w:val="22"/>
          <w:szCs w:val="22"/>
          <w:lang w:val="es-ES" w:eastAsia="en-US"/>
        </w:rPr>
        <w:t xml:space="preserve">Aplicación presupuestaria: </w:t>
      </w:r>
      <w:r w:rsidR="0076183B" w:rsidRPr="00B30385">
        <w:rPr>
          <w:rFonts w:ascii="Arial" w:eastAsiaTheme="minorHAnsi" w:hAnsi="Arial" w:cs="Arial"/>
          <w:bCs/>
          <w:sz w:val="22"/>
          <w:szCs w:val="22"/>
          <w:lang w:val="es-ES" w:eastAsia="en-US"/>
        </w:rPr>
        <w:t xml:space="preserve">el Programa Extraordinario de Sostenibilidad Turística en </w:t>
      </w:r>
      <w:r w:rsidR="00092400" w:rsidRPr="00B30385">
        <w:rPr>
          <w:rFonts w:ascii="Arial" w:eastAsiaTheme="minorHAnsi" w:hAnsi="Arial" w:cs="Arial"/>
          <w:bCs/>
          <w:sz w:val="22"/>
          <w:szCs w:val="22"/>
          <w:lang w:val="es-ES" w:eastAsia="en-US"/>
        </w:rPr>
        <w:t>Destinos 2021-2023</w:t>
      </w:r>
      <w:r w:rsidR="0076183B" w:rsidRPr="00B30385">
        <w:rPr>
          <w:rFonts w:ascii="Arial" w:eastAsiaTheme="minorHAnsi" w:hAnsi="Arial" w:cs="Arial"/>
          <w:bCs/>
          <w:sz w:val="22"/>
          <w:szCs w:val="22"/>
          <w:lang w:val="es-ES" w:eastAsia="en-US"/>
        </w:rPr>
        <w:t xml:space="preserve"> se financia con cargo al </w:t>
      </w:r>
      <w:r w:rsidR="0076183B" w:rsidRPr="00B30385">
        <w:rPr>
          <w:rFonts w:ascii="Arial" w:eastAsiaTheme="minorHAnsi" w:hAnsi="Arial" w:cs="Arial"/>
          <w:sz w:val="22"/>
          <w:szCs w:val="22"/>
          <w:lang w:val="es-ES" w:eastAsia="en-US"/>
        </w:rPr>
        <w:t>presupuesto</w:t>
      </w:r>
      <w:r w:rsidR="0076183B" w:rsidRPr="00B30385">
        <w:rPr>
          <w:rFonts w:ascii="Arial" w:eastAsiaTheme="minorHAnsi" w:hAnsi="Arial" w:cs="Arial"/>
          <w:bCs/>
          <w:sz w:val="22"/>
          <w:szCs w:val="22"/>
          <w:lang w:val="es-ES" w:eastAsia="en-US"/>
        </w:rPr>
        <w:t xml:space="preserve"> adjudicado </w:t>
      </w:r>
      <w:r w:rsidR="00DC3766" w:rsidRPr="00B30385">
        <w:rPr>
          <w:rFonts w:ascii="Arial" w:eastAsiaTheme="minorHAnsi" w:hAnsi="Arial" w:cs="Arial"/>
          <w:bCs/>
          <w:sz w:val="22"/>
          <w:szCs w:val="22"/>
          <w:lang w:val="es-ES" w:eastAsia="en-US"/>
        </w:rPr>
        <w:t xml:space="preserve">a la submedida </w:t>
      </w:r>
      <w:r w:rsidR="0076183B" w:rsidRPr="00B30385">
        <w:rPr>
          <w:rFonts w:ascii="Arial" w:eastAsiaTheme="minorHAnsi" w:hAnsi="Arial" w:cs="Arial"/>
          <w:bCs/>
          <w:sz w:val="22"/>
          <w:szCs w:val="22"/>
          <w:lang w:val="es-ES" w:eastAsia="en-US"/>
        </w:rPr>
        <w:t>2</w:t>
      </w:r>
      <w:r w:rsidR="00092400" w:rsidRPr="00B30385">
        <w:rPr>
          <w:rFonts w:ascii="Arial" w:eastAsiaTheme="minorHAnsi" w:hAnsi="Arial" w:cs="Arial"/>
          <w:bCs/>
          <w:sz w:val="22"/>
          <w:szCs w:val="22"/>
          <w:lang w:val="es-ES" w:eastAsia="en-US"/>
        </w:rPr>
        <w:t xml:space="preserve"> de la inversión 1 del Plan de M</w:t>
      </w:r>
      <w:r w:rsidR="0076183B" w:rsidRPr="00B30385">
        <w:rPr>
          <w:rFonts w:ascii="Arial" w:eastAsiaTheme="minorHAnsi" w:hAnsi="Arial" w:cs="Arial"/>
          <w:bCs/>
          <w:sz w:val="22"/>
          <w:szCs w:val="22"/>
          <w:lang w:val="es-ES" w:eastAsia="en-US"/>
        </w:rPr>
        <w:t xml:space="preserve">odernización y </w:t>
      </w:r>
      <w:r w:rsidR="00092400" w:rsidRPr="00B30385">
        <w:rPr>
          <w:rFonts w:ascii="Arial" w:eastAsiaTheme="minorHAnsi" w:hAnsi="Arial" w:cs="Arial"/>
          <w:bCs/>
          <w:sz w:val="22"/>
          <w:szCs w:val="22"/>
          <w:lang w:val="es-ES" w:eastAsia="en-US"/>
        </w:rPr>
        <w:t>C</w:t>
      </w:r>
      <w:r w:rsidR="0076183B" w:rsidRPr="00B30385">
        <w:rPr>
          <w:rFonts w:ascii="Arial" w:eastAsiaTheme="minorHAnsi" w:hAnsi="Arial" w:cs="Arial"/>
          <w:bCs/>
          <w:sz w:val="22"/>
          <w:szCs w:val="22"/>
          <w:lang w:val="es-ES" w:eastAsia="en-US"/>
        </w:rPr>
        <w:t>ompet</w:t>
      </w:r>
      <w:r w:rsidR="00092400" w:rsidRPr="00B30385">
        <w:rPr>
          <w:rFonts w:ascii="Arial" w:eastAsiaTheme="minorHAnsi" w:hAnsi="Arial" w:cs="Arial"/>
          <w:bCs/>
          <w:sz w:val="22"/>
          <w:szCs w:val="22"/>
          <w:lang w:val="es-ES" w:eastAsia="en-US"/>
        </w:rPr>
        <w:t>itividad del Sector T</w:t>
      </w:r>
      <w:r w:rsidR="006426FB" w:rsidRPr="00B30385">
        <w:rPr>
          <w:rFonts w:ascii="Arial" w:eastAsiaTheme="minorHAnsi" w:hAnsi="Arial" w:cs="Arial"/>
          <w:bCs/>
          <w:sz w:val="22"/>
          <w:szCs w:val="22"/>
          <w:lang w:val="es-ES" w:eastAsia="en-US"/>
        </w:rPr>
        <w:t xml:space="preserve">urístico, componente </w:t>
      </w:r>
      <w:r w:rsidR="0076183B" w:rsidRPr="00B30385">
        <w:rPr>
          <w:rFonts w:ascii="Arial" w:eastAsiaTheme="minorHAnsi" w:hAnsi="Arial" w:cs="Arial"/>
          <w:bCs/>
          <w:sz w:val="22"/>
          <w:szCs w:val="22"/>
          <w:lang w:val="es-ES" w:eastAsia="en-US"/>
        </w:rPr>
        <w:t xml:space="preserve">14 </w:t>
      </w:r>
      <w:r w:rsidR="00F3042F" w:rsidRPr="00B30385">
        <w:rPr>
          <w:rFonts w:ascii="Arial" w:eastAsiaTheme="minorHAnsi" w:hAnsi="Arial" w:cs="Arial"/>
          <w:bCs/>
          <w:sz w:val="22"/>
          <w:szCs w:val="22"/>
          <w:lang w:val="es-ES" w:eastAsia="en-US"/>
        </w:rPr>
        <w:t xml:space="preserve">del </w:t>
      </w:r>
      <w:r w:rsidR="0098655D" w:rsidRPr="00B30385">
        <w:rPr>
          <w:rFonts w:ascii="Arial" w:eastAsiaTheme="minorHAnsi" w:hAnsi="Arial" w:cs="Arial"/>
          <w:bCs/>
          <w:sz w:val="22"/>
          <w:szCs w:val="22"/>
          <w:lang w:val="es-ES" w:eastAsia="en-US"/>
        </w:rPr>
        <w:t>PRTR</w:t>
      </w:r>
      <w:r w:rsidR="0076183B" w:rsidRPr="00B30385">
        <w:rPr>
          <w:rFonts w:ascii="Arial" w:eastAsiaTheme="minorHAnsi" w:hAnsi="Arial" w:cs="Arial"/>
          <w:bCs/>
          <w:sz w:val="22"/>
          <w:szCs w:val="22"/>
          <w:lang w:val="es-ES" w:eastAsia="en-US"/>
        </w:rPr>
        <w:t xml:space="preserve">. </w:t>
      </w:r>
    </w:p>
    <w:p w14:paraId="6E3C412B" w14:textId="66BAFE6D" w:rsidR="0076183B" w:rsidRPr="00B30385" w:rsidRDefault="0076183B" w:rsidP="00F209AA">
      <w:pPr>
        <w:autoSpaceDE w:val="0"/>
        <w:autoSpaceDN w:val="0"/>
        <w:adjustRightInd w:val="0"/>
        <w:spacing w:before="120" w:after="120" w:line="276" w:lineRule="auto"/>
        <w:ind w:right="-427"/>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El importe total de los créditos a distribuir en </w:t>
      </w:r>
      <w:r w:rsidR="00B411FB" w:rsidRPr="00B30385">
        <w:rPr>
          <w:rFonts w:ascii="Arial" w:eastAsiaTheme="minorHAnsi" w:hAnsi="Arial" w:cs="Arial"/>
          <w:bCs/>
          <w:sz w:val="22"/>
          <w:szCs w:val="22"/>
          <w:lang w:val="es-ES" w:eastAsia="en-US"/>
        </w:rPr>
        <w:t>202</w:t>
      </w:r>
      <w:r w:rsidR="00B411FB">
        <w:rPr>
          <w:rFonts w:ascii="Arial" w:eastAsiaTheme="minorHAnsi" w:hAnsi="Arial" w:cs="Arial"/>
          <w:bCs/>
          <w:sz w:val="22"/>
          <w:szCs w:val="22"/>
          <w:lang w:val="es-ES" w:eastAsia="en-US"/>
        </w:rPr>
        <w:t>3</w:t>
      </w:r>
      <w:r w:rsidR="00B411FB" w:rsidRPr="00B30385">
        <w:rPr>
          <w:rFonts w:ascii="Arial" w:eastAsiaTheme="minorHAnsi" w:hAnsi="Arial" w:cs="Arial"/>
          <w:bCs/>
          <w:sz w:val="22"/>
          <w:szCs w:val="22"/>
          <w:lang w:val="es-ES" w:eastAsia="en-US"/>
        </w:rPr>
        <w:t xml:space="preserve"> </w:t>
      </w:r>
      <w:r w:rsidRPr="00B30385">
        <w:rPr>
          <w:rFonts w:ascii="Arial" w:eastAsiaTheme="minorHAnsi" w:hAnsi="Arial" w:cs="Arial"/>
          <w:bCs/>
          <w:sz w:val="22"/>
          <w:szCs w:val="22"/>
          <w:lang w:val="es-ES" w:eastAsia="en-US"/>
        </w:rPr>
        <w:t xml:space="preserve">asciende a </w:t>
      </w:r>
      <w:r w:rsidR="00B411FB">
        <w:rPr>
          <w:rFonts w:ascii="Arial" w:eastAsiaTheme="minorHAnsi" w:hAnsi="Arial" w:cs="Arial"/>
          <w:bCs/>
          <w:sz w:val="22"/>
          <w:szCs w:val="22"/>
          <w:lang w:val="es-ES" w:eastAsia="en-US"/>
        </w:rPr>
        <w:t>478</w:t>
      </w:r>
      <w:r w:rsidR="002412FC">
        <w:rPr>
          <w:rFonts w:ascii="Arial" w:eastAsiaTheme="minorHAnsi" w:hAnsi="Arial" w:cs="Arial"/>
          <w:bCs/>
          <w:sz w:val="22"/>
          <w:szCs w:val="22"/>
          <w:lang w:val="es-ES" w:eastAsia="en-US"/>
        </w:rPr>
        <w:t>.</w:t>
      </w:r>
      <w:r w:rsidR="00B411FB">
        <w:rPr>
          <w:rFonts w:ascii="Arial" w:eastAsiaTheme="minorHAnsi" w:hAnsi="Arial" w:cs="Arial"/>
          <w:bCs/>
          <w:sz w:val="22"/>
          <w:szCs w:val="22"/>
          <w:lang w:val="es-ES" w:eastAsia="en-US"/>
        </w:rPr>
        <w:t>000</w:t>
      </w:r>
      <w:r w:rsidR="002412FC">
        <w:rPr>
          <w:rFonts w:ascii="Arial" w:eastAsiaTheme="minorHAnsi" w:hAnsi="Arial" w:cs="Arial"/>
          <w:bCs/>
          <w:sz w:val="22"/>
          <w:szCs w:val="22"/>
          <w:lang w:val="es-ES" w:eastAsia="en-US"/>
        </w:rPr>
        <w:t>.000</w:t>
      </w:r>
      <w:r w:rsidR="00980F4D">
        <w:rPr>
          <w:rFonts w:ascii="Arial" w:eastAsiaTheme="minorHAnsi" w:hAnsi="Arial" w:cs="Arial"/>
          <w:bCs/>
          <w:sz w:val="22"/>
          <w:szCs w:val="22"/>
          <w:lang w:val="es-ES" w:eastAsia="en-US"/>
        </w:rPr>
        <w:t xml:space="preserve"> </w:t>
      </w:r>
      <w:r w:rsidRPr="00B30385">
        <w:rPr>
          <w:rFonts w:ascii="Arial" w:eastAsiaTheme="minorHAnsi" w:hAnsi="Arial" w:cs="Arial"/>
          <w:bCs/>
          <w:sz w:val="22"/>
          <w:szCs w:val="22"/>
          <w:lang w:val="es-ES" w:eastAsia="en-US"/>
        </w:rPr>
        <w:t xml:space="preserve">euros, y se realizará por parte de </w:t>
      </w:r>
      <w:r w:rsidR="00A2425F" w:rsidRPr="00B30385">
        <w:rPr>
          <w:rFonts w:ascii="Arial" w:eastAsiaTheme="minorHAnsi" w:hAnsi="Arial" w:cs="Arial"/>
          <w:bCs/>
          <w:sz w:val="22"/>
          <w:szCs w:val="22"/>
          <w:lang w:val="es-ES" w:eastAsia="en-US"/>
        </w:rPr>
        <w:t>la</w:t>
      </w:r>
      <w:r w:rsidRPr="00B30385">
        <w:rPr>
          <w:rFonts w:ascii="Arial" w:eastAsiaTheme="minorHAnsi" w:hAnsi="Arial" w:cs="Arial"/>
          <w:bCs/>
          <w:sz w:val="22"/>
          <w:szCs w:val="22"/>
          <w:lang w:val="es-ES" w:eastAsia="en-US"/>
        </w:rPr>
        <w:t xml:space="preserve"> Secretaría de Estado </w:t>
      </w:r>
      <w:r w:rsidR="00A2425F" w:rsidRPr="00B30385">
        <w:rPr>
          <w:rFonts w:ascii="Arial" w:eastAsiaTheme="minorHAnsi" w:hAnsi="Arial" w:cs="Arial"/>
          <w:bCs/>
          <w:sz w:val="22"/>
          <w:szCs w:val="22"/>
          <w:lang w:val="es-ES" w:eastAsia="en-US"/>
        </w:rPr>
        <w:t xml:space="preserve">de Turismo </w:t>
      </w:r>
      <w:r w:rsidRPr="00B30385">
        <w:rPr>
          <w:rFonts w:ascii="Arial" w:eastAsiaTheme="minorHAnsi" w:hAnsi="Arial" w:cs="Arial"/>
          <w:bCs/>
          <w:sz w:val="22"/>
          <w:szCs w:val="22"/>
          <w:lang w:val="es-ES" w:eastAsia="en-US"/>
        </w:rPr>
        <w:t xml:space="preserve">con cargo a la aplicación </w:t>
      </w:r>
      <w:r w:rsidRPr="00B30385">
        <w:rPr>
          <w:rFonts w:ascii="Arial" w:eastAsiaTheme="minorHAnsi" w:hAnsi="Arial" w:cs="Arial"/>
          <w:bCs/>
          <w:sz w:val="22"/>
          <w:szCs w:val="22"/>
          <w:lang w:val="es-ES" w:eastAsia="en-US"/>
        </w:rPr>
        <w:lastRenderedPageBreak/>
        <w:t xml:space="preserve">presupuestaria </w:t>
      </w:r>
      <w:r w:rsidR="00980F4D" w:rsidRPr="00980F4D">
        <w:rPr>
          <w:rFonts w:ascii="Arial" w:eastAsiaTheme="minorHAnsi" w:hAnsi="Arial" w:cs="Arial"/>
          <w:bCs/>
          <w:sz w:val="22"/>
          <w:szCs w:val="22"/>
          <w:lang w:val="es-ES" w:eastAsia="en-US"/>
        </w:rPr>
        <w:t>20.50.04.43NA.750</w:t>
      </w:r>
      <w:r w:rsidR="00980F4D">
        <w:rPr>
          <w:rFonts w:ascii="Arial" w:eastAsiaTheme="minorHAnsi" w:hAnsi="Arial" w:cs="Arial"/>
          <w:bCs/>
          <w:sz w:val="22"/>
          <w:szCs w:val="22"/>
          <w:lang w:val="es-ES" w:eastAsia="en-US"/>
        </w:rPr>
        <w:t xml:space="preserve"> </w:t>
      </w:r>
      <w:r w:rsidRPr="00B30385">
        <w:rPr>
          <w:rFonts w:ascii="Arial" w:eastAsiaTheme="minorHAnsi" w:hAnsi="Arial" w:cs="Arial"/>
          <w:bCs/>
          <w:sz w:val="22"/>
          <w:szCs w:val="22"/>
          <w:lang w:val="es-ES" w:eastAsia="en-US"/>
        </w:rPr>
        <w:t xml:space="preserve">y crédito del servicio 50 “Mecanismo de Recuperación y Resiliencia” del Ministerio de Industria, Comercio y Turismo para </w:t>
      </w:r>
      <w:r w:rsidR="00980F4D">
        <w:rPr>
          <w:rFonts w:ascii="Arial" w:eastAsiaTheme="minorHAnsi" w:hAnsi="Arial" w:cs="Arial"/>
          <w:bCs/>
          <w:sz w:val="22"/>
          <w:szCs w:val="22"/>
          <w:lang w:val="es-ES" w:eastAsia="en-US"/>
        </w:rPr>
        <w:t xml:space="preserve">el ejercicio presupuestario </w:t>
      </w:r>
      <w:r w:rsidR="00B411FB">
        <w:rPr>
          <w:rFonts w:ascii="Arial" w:eastAsiaTheme="minorHAnsi" w:hAnsi="Arial" w:cs="Arial"/>
          <w:bCs/>
          <w:sz w:val="22"/>
          <w:szCs w:val="22"/>
          <w:lang w:val="es-ES" w:eastAsia="en-US"/>
        </w:rPr>
        <w:t>2023</w:t>
      </w:r>
      <w:r w:rsidRPr="00B30385">
        <w:rPr>
          <w:rFonts w:ascii="Arial" w:eastAsiaTheme="minorHAnsi" w:hAnsi="Arial" w:cs="Arial"/>
          <w:bCs/>
          <w:sz w:val="22"/>
          <w:szCs w:val="22"/>
          <w:lang w:val="es-ES" w:eastAsia="en-US"/>
        </w:rPr>
        <w:t>.</w:t>
      </w:r>
    </w:p>
    <w:p w14:paraId="189CF247" w14:textId="77777777" w:rsidR="0076183B" w:rsidRPr="00B30385" w:rsidRDefault="0076183B" w:rsidP="00F209AA">
      <w:pPr>
        <w:pStyle w:val="Sinespaciado"/>
        <w:spacing w:line="276" w:lineRule="auto"/>
        <w:ind w:right="-427"/>
        <w:jc w:val="both"/>
        <w:rPr>
          <w:rFonts w:ascii="Arial" w:hAnsi="Arial" w:cs="Arial"/>
          <w:bCs/>
        </w:rPr>
      </w:pPr>
    </w:p>
    <w:p w14:paraId="4BB130E1" w14:textId="06401EAE" w:rsidR="002F1314" w:rsidRPr="00B30385" w:rsidRDefault="004E2593" w:rsidP="00F209AA">
      <w:pPr>
        <w:tabs>
          <w:tab w:val="left" w:pos="426"/>
        </w:tabs>
        <w:spacing w:line="276" w:lineRule="auto"/>
        <w:ind w:right="-427"/>
        <w:jc w:val="both"/>
        <w:rPr>
          <w:rFonts w:ascii="Arial" w:eastAsiaTheme="minorHAnsi" w:hAnsi="Arial" w:cs="Arial"/>
          <w:bCs/>
          <w:sz w:val="22"/>
          <w:szCs w:val="22"/>
          <w:lang w:val="es-ES" w:eastAsia="en-US"/>
        </w:rPr>
      </w:pPr>
      <w:r w:rsidRPr="00B30385">
        <w:rPr>
          <w:rFonts w:ascii="Arial" w:eastAsiaTheme="minorHAnsi" w:hAnsi="Arial" w:cs="Arial"/>
          <w:b/>
          <w:bCs/>
          <w:sz w:val="22"/>
          <w:szCs w:val="22"/>
          <w:lang w:val="es-ES" w:eastAsia="en-US"/>
        </w:rPr>
        <w:t>Objetivo:</w:t>
      </w:r>
      <w:r w:rsidR="00D6576A" w:rsidRPr="00B30385">
        <w:rPr>
          <w:rFonts w:ascii="Arial" w:eastAsiaTheme="minorHAnsi" w:hAnsi="Arial" w:cs="Arial"/>
          <w:b/>
          <w:bCs/>
          <w:sz w:val="22"/>
          <w:szCs w:val="22"/>
          <w:lang w:val="es-ES" w:eastAsia="en-US"/>
        </w:rPr>
        <w:t xml:space="preserve"> </w:t>
      </w:r>
      <w:r w:rsidR="002F1314" w:rsidRPr="00B30385">
        <w:rPr>
          <w:rFonts w:ascii="Arial" w:eastAsiaTheme="minorHAnsi" w:hAnsi="Arial" w:cs="Arial"/>
          <w:bCs/>
          <w:sz w:val="22"/>
          <w:szCs w:val="22"/>
          <w:lang w:val="es-ES" w:eastAsia="en-US"/>
        </w:rPr>
        <w:t xml:space="preserve">el objetivo perseguido por la presente distribución territorial de créditos relativos a la línea de inversión C14.I1 es implementar actuaciones de impulso de la sostenibilidad turística contempladas en </w:t>
      </w:r>
      <w:r w:rsidR="00DC3766" w:rsidRPr="00B30385">
        <w:rPr>
          <w:rFonts w:ascii="Arial" w:eastAsiaTheme="minorHAnsi" w:hAnsi="Arial" w:cs="Arial"/>
          <w:bCs/>
          <w:sz w:val="22"/>
          <w:szCs w:val="22"/>
          <w:lang w:val="es-ES" w:eastAsia="en-US"/>
        </w:rPr>
        <w:t xml:space="preserve">la submedida </w:t>
      </w:r>
      <w:r w:rsidR="002F1314" w:rsidRPr="00B30385">
        <w:rPr>
          <w:rFonts w:ascii="Arial" w:eastAsiaTheme="minorHAnsi" w:hAnsi="Arial" w:cs="Arial"/>
          <w:bCs/>
          <w:sz w:val="22"/>
          <w:szCs w:val="22"/>
          <w:lang w:val="es-ES" w:eastAsia="en-US"/>
        </w:rPr>
        <w:t>2</w:t>
      </w:r>
      <w:r w:rsidR="007F1D94" w:rsidRPr="00B30385">
        <w:rPr>
          <w:rFonts w:ascii="Arial" w:eastAsiaTheme="minorHAnsi" w:hAnsi="Arial" w:cs="Arial"/>
          <w:bCs/>
          <w:sz w:val="22"/>
          <w:szCs w:val="22"/>
          <w:lang w:val="es-ES" w:eastAsia="en-US"/>
        </w:rPr>
        <w:t>:</w:t>
      </w:r>
      <w:r w:rsidR="002F1314" w:rsidRPr="00B30385">
        <w:rPr>
          <w:rFonts w:ascii="Arial" w:eastAsiaTheme="minorHAnsi" w:hAnsi="Arial" w:cs="Arial"/>
          <w:bCs/>
          <w:sz w:val="22"/>
          <w:szCs w:val="22"/>
          <w:lang w:val="es-ES" w:eastAsia="en-US"/>
        </w:rPr>
        <w:t xml:space="preserve"> los Planes de Sostenibilidad Turística en Destinos, en su triple vertiente: medioambiental, socioeconómica y territorial</w:t>
      </w:r>
      <w:r w:rsidR="007F1D94" w:rsidRPr="00B30385">
        <w:rPr>
          <w:rFonts w:ascii="Arial" w:eastAsiaTheme="minorHAnsi" w:hAnsi="Arial" w:cs="Arial"/>
          <w:bCs/>
          <w:sz w:val="22"/>
          <w:szCs w:val="22"/>
          <w:lang w:val="es-ES" w:eastAsia="en-US"/>
        </w:rPr>
        <w:t>, a fin de beneficiar</w:t>
      </w:r>
      <w:r w:rsidR="002F1314" w:rsidRPr="00B30385">
        <w:rPr>
          <w:rFonts w:ascii="Arial" w:eastAsiaTheme="minorHAnsi" w:hAnsi="Arial" w:cs="Arial"/>
          <w:bCs/>
          <w:sz w:val="22"/>
          <w:szCs w:val="22"/>
          <w:lang w:val="es-ES" w:eastAsia="en-US"/>
        </w:rPr>
        <w:t xml:space="preserve"> a los destinos turísticos, a los agentes sociales y a los operadores privados del sector.</w:t>
      </w:r>
    </w:p>
    <w:p w14:paraId="375B9076" w14:textId="438C9A9C" w:rsidR="009F2906" w:rsidRPr="00B30385" w:rsidRDefault="002F4262" w:rsidP="00F209AA">
      <w:pPr>
        <w:tabs>
          <w:tab w:val="left" w:pos="426"/>
        </w:tabs>
        <w:spacing w:line="276" w:lineRule="auto"/>
        <w:ind w:right="-427"/>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br/>
        <w:t>Tal y como establece la</w:t>
      </w:r>
      <w:r w:rsidR="009F2906" w:rsidRPr="00B30385">
        <w:rPr>
          <w:rFonts w:ascii="Arial" w:eastAsiaTheme="minorHAnsi" w:hAnsi="Arial" w:cs="Arial"/>
          <w:bCs/>
          <w:sz w:val="22"/>
          <w:szCs w:val="22"/>
          <w:lang w:val="es-ES" w:eastAsia="en-US"/>
        </w:rPr>
        <w:t xml:space="preserve"> Decisión de Ejecución del Consejo </w:t>
      </w:r>
      <w:r w:rsidR="00B21AF4" w:rsidRPr="00B30385">
        <w:rPr>
          <w:rFonts w:ascii="Arial" w:eastAsiaTheme="minorHAnsi" w:hAnsi="Arial" w:cs="Arial"/>
          <w:bCs/>
          <w:sz w:val="22"/>
          <w:szCs w:val="22"/>
          <w:lang w:val="es-ES" w:eastAsia="en-US"/>
        </w:rPr>
        <w:t xml:space="preserve">relativa a la aprobación de la evaluación del </w:t>
      </w:r>
      <w:r w:rsidR="004F784C" w:rsidRPr="00B30385">
        <w:rPr>
          <w:rFonts w:ascii="Arial" w:eastAsiaTheme="minorHAnsi" w:hAnsi="Arial" w:cs="Arial"/>
          <w:bCs/>
          <w:sz w:val="22"/>
          <w:szCs w:val="22"/>
          <w:lang w:val="es-ES" w:eastAsia="en-US"/>
        </w:rPr>
        <w:t>PRTR</w:t>
      </w:r>
      <w:r w:rsidR="00B21AF4" w:rsidRPr="00B30385">
        <w:rPr>
          <w:rFonts w:ascii="Arial" w:eastAsiaTheme="minorHAnsi" w:hAnsi="Arial" w:cs="Arial"/>
          <w:bCs/>
          <w:sz w:val="22"/>
          <w:szCs w:val="22"/>
          <w:lang w:val="es-ES" w:eastAsia="en-US"/>
        </w:rPr>
        <w:t xml:space="preserve"> de España</w:t>
      </w:r>
      <w:r w:rsidRPr="00B30385">
        <w:rPr>
          <w:rFonts w:ascii="Arial" w:eastAsiaTheme="minorHAnsi" w:hAnsi="Arial" w:cs="Arial"/>
          <w:bCs/>
          <w:sz w:val="22"/>
          <w:szCs w:val="22"/>
          <w:lang w:val="es-ES" w:eastAsia="en-US"/>
        </w:rPr>
        <w:t xml:space="preserve"> (CID, en sus siglas en inglés), la </w:t>
      </w:r>
      <w:r w:rsidR="009F2906" w:rsidRPr="00B30385">
        <w:rPr>
          <w:rFonts w:ascii="Arial" w:eastAsiaTheme="minorHAnsi" w:hAnsi="Arial" w:cs="Arial"/>
          <w:bCs/>
          <w:sz w:val="22"/>
          <w:szCs w:val="22"/>
          <w:lang w:val="es-ES" w:eastAsia="en-US"/>
        </w:rPr>
        <w:t>inversión 1.2 del Componente 14 (C14.I1.2)</w:t>
      </w:r>
      <w:r w:rsidRPr="00B30385">
        <w:rPr>
          <w:rFonts w:ascii="Arial" w:eastAsiaTheme="minorHAnsi" w:hAnsi="Arial" w:cs="Arial"/>
          <w:bCs/>
          <w:sz w:val="22"/>
          <w:szCs w:val="22"/>
          <w:lang w:val="es-ES" w:eastAsia="en-US"/>
        </w:rPr>
        <w:t xml:space="preserve"> </w:t>
      </w:r>
      <w:r w:rsidR="009F2906" w:rsidRPr="00B30385">
        <w:rPr>
          <w:rFonts w:ascii="Arial" w:eastAsiaTheme="minorHAnsi" w:hAnsi="Arial" w:cs="Arial"/>
          <w:bCs/>
          <w:sz w:val="22"/>
          <w:szCs w:val="22"/>
          <w:lang w:val="es-ES" w:eastAsia="en-US"/>
        </w:rPr>
        <w:t xml:space="preserve">será ejecutada por las </w:t>
      </w:r>
      <w:r w:rsidRPr="00B30385">
        <w:rPr>
          <w:rFonts w:ascii="Arial" w:eastAsiaTheme="minorHAnsi" w:hAnsi="Arial" w:cs="Arial"/>
          <w:bCs/>
          <w:sz w:val="22"/>
          <w:szCs w:val="22"/>
          <w:lang w:val="es-ES" w:eastAsia="en-US"/>
        </w:rPr>
        <w:t>e</w:t>
      </w:r>
      <w:r w:rsidR="009F2906" w:rsidRPr="00B30385">
        <w:rPr>
          <w:rFonts w:ascii="Arial" w:eastAsiaTheme="minorHAnsi" w:hAnsi="Arial" w:cs="Arial"/>
          <w:bCs/>
          <w:sz w:val="22"/>
          <w:szCs w:val="22"/>
          <w:lang w:val="es-ES" w:eastAsia="en-US"/>
        </w:rPr>
        <w:t xml:space="preserve">ntidades </w:t>
      </w:r>
      <w:r w:rsidRPr="00B30385">
        <w:rPr>
          <w:rFonts w:ascii="Arial" w:eastAsiaTheme="minorHAnsi" w:hAnsi="Arial" w:cs="Arial"/>
          <w:bCs/>
          <w:sz w:val="22"/>
          <w:szCs w:val="22"/>
          <w:lang w:val="es-ES" w:eastAsia="en-US"/>
        </w:rPr>
        <w:t>l</w:t>
      </w:r>
      <w:r w:rsidR="009F2906" w:rsidRPr="00B30385">
        <w:rPr>
          <w:rFonts w:ascii="Arial" w:eastAsiaTheme="minorHAnsi" w:hAnsi="Arial" w:cs="Arial"/>
          <w:bCs/>
          <w:sz w:val="22"/>
          <w:szCs w:val="22"/>
          <w:lang w:val="es-ES" w:eastAsia="en-US"/>
        </w:rPr>
        <w:t xml:space="preserve">ocales y las </w:t>
      </w:r>
      <w:r w:rsidR="00DC3766" w:rsidRPr="00B30385">
        <w:rPr>
          <w:rFonts w:ascii="Arial" w:eastAsiaTheme="minorHAnsi" w:hAnsi="Arial" w:cs="Arial"/>
          <w:bCs/>
          <w:sz w:val="22"/>
          <w:szCs w:val="22"/>
          <w:lang w:val="es-ES" w:eastAsia="en-US"/>
        </w:rPr>
        <w:t>c</w:t>
      </w:r>
      <w:r w:rsidR="009F2906" w:rsidRPr="00B30385">
        <w:rPr>
          <w:rFonts w:ascii="Arial" w:eastAsiaTheme="minorHAnsi" w:hAnsi="Arial" w:cs="Arial"/>
          <w:bCs/>
          <w:sz w:val="22"/>
          <w:szCs w:val="22"/>
          <w:lang w:val="es-ES" w:eastAsia="en-US"/>
        </w:rPr>
        <w:t xml:space="preserve">omunidades </w:t>
      </w:r>
      <w:r w:rsidR="00DC3766" w:rsidRPr="00B30385">
        <w:rPr>
          <w:rFonts w:ascii="Arial" w:eastAsiaTheme="minorHAnsi" w:hAnsi="Arial" w:cs="Arial"/>
          <w:bCs/>
          <w:sz w:val="22"/>
          <w:szCs w:val="22"/>
          <w:lang w:val="es-ES" w:eastAsia="en-US"/>
        </w:rPr>
        <w:t>a</w:t>
      </w:r>
      <w:r w:rsidRPr="00B30385">
        <w:rPr>
          <w:rFonts w:ascii="Arial" w:eastAsiaTheme="minorHAnsi" w:hAnsi="Arial" w:cs="Arial"/>
          <w:bCs/>
          <w:sz w:val="22"/>
          <w:szCs w:val="22"/>
          <w:lang w:val="es-ES" w:eastAsia="en-US"/>
        </w:rPr>
        <w:t>utónomas e incluye los siguientes objetivos:</w:t>
      </w:r>
    </w:p>
    <w:p w14:paraId="36C504CD" w14:textId="77777777" w:rsidR="009F2906" w:rsidRPr="00B30385" w:rsidRDefault="009F2906" w:rsidP="00F209AA">
      <w:pPr>
        <w:tabs>
          <w:tab w:val="left" w:pos="426"/>
        </w:tabs>
        <w:spacing w:line="276" w:lineRule="auto"/>
        <w:ind w:right="-427"/>
        <w:jc w:val="both"/>
        <w:rPr>
          <w:rFonts w:ascii="Arial" w:eastAsiaTheme="minorHAnsi" w:hAnsi="Arial" w:cs="Arial"/>
          <w:bCs/>
          <w:sz w:val="22"/>
          <w:szCs w:val="22"/>
          <w:lang w:val="es-ES" w:eastAsia="en-US"/>
        </w:rPr>
      </w:pPr>
    </w:p>
    <w:p w14:paraId="2529387B" w14:textId="17B781B9" w:rsidR="003E2905" w:rsidRDefault="003E2905" w:rsidP="00F209AA">
      <w:pPr>
        <w:tabs>
          <w:tab w:val="left" w:pos="426"/>
        </w:tabs>
        <w:spacing w:line="276" w:lineRule="auto"/>
        <w:ind w:left="42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r>
      <w:r w:rsidRPr="004D451B">
        <w:rPr>
          <w:rFonts w:ascii="Arial" w:eastAsiaTheme="minorHAnsi" w:hAnsi="Arial" w:cs="Arial"/>
          <w:b/>
          <w:bCs/>
          <w:sz w:val="22"/>
          <w:szCs w:val="22"/>
          <w:lang w:val="es-ES" w:eastAsia="en-US"/>
        </w:rPr>
        <w:t>Objetivo nº 217 del CID</w:t>
      </w:r>
      <w:r w:rsidRPr="003E2905">
        <w:rPr>
          <w:rFonts w:ascii="Arial" w:eastAsiaTheme="minorHAnsi" w:hAnsi="Arial" w:cs="Arial"/>
          <w:bCs/>
          <w:sz w:val="22"/>
          <w:szCs w:val="22"/>
          <w:lang w:val="es-ES" w:eastAsia="en-US"/>
        </w:rPr>
        <w:t xml:space="preserve">: cuarto trimestre 2021: publicación en el BOE de la adjudicación a las Entidades Locales de ayuda para la aplicación de los «Planes Territoriales de Sostenibilidad Turística en Destinos», por un importe mínimo de 561 000 000 EUR, de los cuales, el 35 % se destinará a medidas que aborden la transición verde, la sostenibilidad y la eficiencia energética/electromovilidad en los destinos. </w:t>
      </w:r>
    </w:p>
    <w:p w14:paraId="75F866C1" w14:textId="77777777" w:rsidR="007E6D15" w:rsidRPr="003E2905" w:rsidRDefault="007E6D15" w:rsidP="00F209AA">
      <w:pPr>
        <w:tabs>
          <w:tab w:val="left" w:pos="426"/>
        </w:tabs>
        <w:spacing w:line="276" w:lineRule="auto"/>
        <w:ind w:left="426" w:right="-427"/>
        <w:jc w:val="both"/>
        <w:rPr>
          <w:rFonts w:ascii="Arial" w:eastAsiaTheme="minorHAnsi" w:hAnsi="Arial" w:cs="Arial"/>
          <w:bCs/>
          <w:sz w:val="22"/>
          <w:szCs w:val="22"/>
          <w:lang w:val="es-ES" w:eastAsia="en-US"/>
        </w:rPr>
      </w:pPr>
    </w:p>
    <w:p w14:paraId="39689A3B" w14:textId="464B8B5C" w:rsidR="003E2905" w:rsidRPr="003E2905" w:rsidRDefault="003E2905" w:rsidP="00F209AA">
      <w:pPr>
        <w:tabs>
          <w:tab w:val="left" w:pos="426"/>
        </w:tabs>
        <w:spacing w:line="276" w:lineRule="auto"/>
        <w:ind w:left="42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Los criterios de selección garantizarán el cumplimiento de la Guía técnica sobre la aplicación del principio de «no causar un perjuicio significativo» (DO C 58 de 18.2.2021, p.1), de una lista de exclusiones y del acervo medioambiental pertinente de la UE y nacional. Los criterios de selección deberán garantizar que</w:t>
      </w:r>
      <w:r w:rsidR="00E1709F">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 xml:space="preserve"> del presupuesto total definitivo concedido para financiar la medida, 511 000 000 EUR, como mínimo, contribuyan al cumplimiento de los objetivos relacionados con el cambio climático con un coeficiente climático del 100 %, y 140 000 000 EUR, como mínimo, a los relacionados con un coeficiente climático del 40 %, de conformidad con el anexo VI del Reglamento (UE) 2021/241 sobre el Mecanismo de Recuperación y Resiliencia.</w:t>
      </w:r>
    </w:p>
    <w:p w14:paraId="7CF19136" w14:textId="77777777" w:rsidR="003E2905" w:rsidRPr="003E2905" w:rsidRDefault="003E2905" w:rsidP="00F209AA">
      <w:pPr>
        <w:tabs>
          <w:tab w:val="left" w:pos="426"/>
        </w:tabs>
        <w:spacing w:line="276" w:lineRule="auto"/>
        <w:ind w:left="42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El mecanismo de verificación correspondiente a este objetivo es el documento de síntesis en el que se justifique debidamente cómo se ha cumplido el objetivo (incluidos los elementos pertinentes del objetivo, tal y como se enumeran en la descripción del objetivo y de la medida correspondiente en el anexo de la CID) de forma satisfactoria.</w:t>
      </w:r>
    </w:p>
    <w:p w14:paraId="5A5CC545" w14:textId="77777777" w:rsidR="003E2905" w:rsidRPr="003E2905" w:rsidRDefault="003E2905" w:rsidP="00F209AA">
      <w:pPr>
        <w:tabs>
          <w:tab w:val="left" w:pos="426"/>
        </w:tabs>
        <w:spacing w:line="276" w:lineRule="auto"/>
        <w:ind w:left="42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El documento de síntesis incluirá como anexo las siguientes pruebas documentales:</w:t>
      </w:r>
    </w:p>
    <w:p w14:paraId="3408BD43" w14:textId="77777777" w:rsidR="003E2905" w:rsidRPr="003E2905" w:rsidRDefault="003E2905" w:rsidP="00F209AA">
      <w:pPr>
        <w:tabs>
          <w:tab w:val="left" w:pos="426"/>
        </w:tabs>
        <w:spacing w:line="276" w:lineRule="auto"/>
        <w:ind w:left="42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1) Copia del Acuerdo de la Conferencia Sectorial de Turismo, y enlace a su publicación en el Diario Oficial;</w:t>
      </w:r>
    </w:p>
    <w:p w14:paraId="4E517AF9" w14:textId="77777777" w:rsidR="003E2905" w:rsidRPr="003E2905" w:rsidRDefault="003E2905" w:rsidP="00F209AA">
      <w:pPr>
        <w:tabs>
          <w:tab w:val="left" w:pos="426"/>
        </w:tabs>
        <w:spacing w:line="276" w:lineRule="auto"/>
        <w:ind w:left="42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2) extracto de los documentos oficiales que contengan los criterios de selección que garanticen el cumplimiento de la Guía Técnica "No hacer daño significativo" (2021/C58/01), tal y como se especifica en el Anexo del CID;</w:t>
      </w:r>
    </w:p>
    <w:p w14:paraId="26E76ED0" w14:textId="77777777" w:rsidR="003E2905" w:rsidRPr="003E2905" w:rsidRDefault="003E2905" w:rsidP="00F209AA">
      <w:pPr>
        <w:tabs>
          <w:tab w:val="left" w:pos="426"/>
        </w:tabs>
        <w:spacing w:line="276" w:lineRule="auto"/>
        <w:ind w:left="42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3) extracto de los documentos oficiales que contienen los criterios de selección que garantizan el cumplimiento de las cantidades que contribuyen a los objetivos de cambio climático especificados en la descripción de la medida, en consonancia con el anexo VI del Reglamento (UE) 2021/241 del Mecanismo de Recuperación y Resiliencia.</w:t>
      </w:r>
    </w:p>
    <w:p w14:paraId="6AEFBF8C" w14:textId="5060E4ED" w:rsidR="003E2905" w:rsidRDefault="003E2905" w:rsidP="00F209AA">
      <w:pPr>
        <w:tabs>
          <w:tab w:val="left" w:pos="426"/>
        </w:tabs>
        <w:spacing w:line="276" w:lineRule="auto"/>
        <w:ind w:left="42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 xml:space="preserve">4) extracto de los documentos oficiales que contienen los criterios de selección que garantizan que el 35 % de los fondos se destinen a medidas que aborden la transición verde, la sostenibilidad y la eficiencia energética/electromovilidad en los destinos. </w:t>
      </w:r>
    </w:p>
    <w:p w14:paraId="303B31F0" w14:textId="77777777" w:rsidR="003E2905" w:rsidRDefault="003E2905" w:rsidP="00F209AA">
      <w:pPr>
        <w:tabs>
          <w:tab w:val="left" w:pos="426"/>
        </w:tabs>
        <w:spacing w:line="276" w:lineRule="auto"/>
        <w:ind w:left="426" w:right="-427"/>
        <w:jc w:val="both"/>
        <w:rPr>
          <w:rFonts w:ascii="Arial" w:eastAsiaTheme="minorHAnsi" w:hAnsi="Arial" w:cs="Arial"/>
          <w:bCs/>
          <w:sz w:val="22"/>
          <w:szCs w:val="22"/>
          <w:lang w:val="es-ES" w:eastAsia="en-US"/>
        </w:rPr>
      </w:pPr>
    </w:p>
    <w:p w14:paraId="1792D890" w14:textId="697DF6FA" w:rsidR="003E2905" w:rsidRPr="003E2905" w:rsidRDefault="003E2905" w:rsidP="00F209AA">
      <w:pPr>
        <w:pStyle w:val="Prrafodelista"/>
        <w:numPr>
          <w:ilvl w:val="0"/>
          <w:numId w:val="25"/>
        </w:numPr>
        <w:tabs>
          <w:tab w:val="left" w:pos="426"/>
        </w:tabs>
        <w:spacing w:line="276" w:lineRule="auto"/>
        <w:ind w:right="-427"/>
        <w:jc w:val="both"/>
        <w:rPr>
          <w:rFonts w:ascii="Arial" w:hAnsi="Arial" w:cs="Arial"/>
          <w:bCs/>
        </w:rPr>
      </w:pPr>
      <w:r w:rsidRPr="004D451B">
        <w:rPr>
          <w:rFonts w:ascii="Arial" w:hAnsi="Arial" w:cs="Arial"/>
          <w:b/>
          <w:bCs/>
        </w:rPr>
        <w:t>Objetivo nº 218 del CID</w:t>
      </w:r>
      <w:r w:rsidRPr="003E2905">
        <w:rPr>
          <w:rFonts w:ascii="Arial" w:hAnsi="Arial" w:cs="Arial"/>
          <w:bCs/>
        </w:rPr>
        <w:t>: cuarto trimestre 2022: publicación en el BOE de la adjudicación a las Entidades Locales de ayuda para la aplicación de los «Planes Territoriales de Sostenibilidad Turística en Destinos», por un importe mínimo de 1 173 000 000 EUR (valor de referencia: 31 de diciembre de 2021), de los cuales, el 35 % se destinará a medidas que aborden la transición verde, la sostenibilidad y la eficiencia energética/electromovilidad en los destinos.</w:t>
      </w:r>
    </w:p>
    <w:p w14:paraId="778ACC39" w14:textId="77777777" w:rsidR="003E2905" w:rsidRPr="003E2905" w:rsidRDefault="003E2905" w:rsidP="00F209AA">
      <w:pPr>
        <w:tabs>
          <w:tab w:val="left" w:pos="426"/>
        </w:tabs>
        <w:spacing w:line="276" w:lineRule="auto"/>
        <w:ind w:left="78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El mecanismo de verificación correspondiente a este objetivo es el documento de síntesis en el que se justifique debidamente cómo se ha cumplido el objetivo (incluidos los elementos pertinentes del objetivo, tal y como se enumeran en la descripción del objetivo y de la medida correspondiente en el anexo de la CID) de forma satisfactoria.</w:t>
      </w:r>
    </w:p>
    <w:p w14:paraId="22C9A497" w14:textId="77777777" w:rsidR="003E2905" w:rsidRPr="003E2905" w:rsidRDefault="003E2905" w:rsidP="00F209AA">
      <w:pPr>
        <w:tabs>
          <w:tab w:val="left" w:pos="426"/>
        </w:tabs>
        <w:spacing w:line="276" w:lineRule="auto"/>
        <w:ind w:left="78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El documento de síntesis incluirá como anexo las siguientes pruebas documentales:</w:t>
      </w:r>
    </w:p>
    <w:p w14:paraId="2CBBEE54" w14:textId="77777777" w:rsidR="003E2905" w:rsidRPr="003E2905" w:rsidRDefault="003E2905" w:rsidP="00F209AA">
      <w:pPr>
        <w:tabs>
          <w:tab w:val="left" w:pos="426"/>
        </w:tabs>
        <w:spacing w:line="276" w:lineRule="auto"/>
        <w:ind w:left="78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1) Copia del Acuerdo de la Conferencia Sectorial de Turismo, y enlace a su publicación en el Diario Oficial;</w:t>
      </w:r>
    </w:p>
    <w:p w14:paraId="40B2CC34" w14:textId="77777777" w:rsidR="003E2905" w:rsidRPr="003E2905" w:rsidRDefault="003E2905" w:rsidP="00F209AA">
      <w:pPr>
        <w:tabs>
          <w:tab w:val="left" w:pos="426"/>
        </w:tabs>
        <w:spacing w:line="276" w:lineRule="auto"/>
        <w:ind w:left="78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2) extracto de los documentos oficiales que contengan los criterios de selección que garanticen el cumplimiento de la Guía Técnica "No hacer daño significativo" (2021/C58/01), tal y como se especifica en el Anexo del CID;</w:t>
      </w:r>
    </w:p>
    <w:p w14:paraId="2650CFDE" w14:textId="77777777" w:rsidR="003E2905" w:rsidRPr="003E2905" w:rsidRDefault="003E2905" w:rsidP="00F209AA">
      <w:pPr>
        <w:tabs>
          <w:tab w:val="left" w:pos="426"/>
        </w:tabs>
        <w:spacing w:line="276" w:lineRule="auto"/>
        <w:ind w:left="78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3) extracto de los documentos oficiales que contienen los criterios de selección que garantizan el cumplimiento de las cantidades que contribuyen a los objetivos de cambio climático especificados en la descripción de la medida, en consonancia con el anexo VI del Reglamento (UE) 2021/241 del Mecanismo de Recuperación y Resiliencia.</w:t>
      </w:r>
    </w:p>
    <w:p w14:paraId="05433D7C" w14:textId="0FADB2B8" w:rsidR="003E2905" w:rsidRDefault="003E2905" w:rsidP="00F209AA">
      <w:pPr>
        <w:tabs>
          <w:tab w:val="left" w:pos="426"/>
        </w:tabs>
        <w:spacing w:line="276" w:lineRule="auto"/>
        <w:ind w:left="78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 xml:space="preserve">4) extracto de los documentos oficiales que contienen los criterios de selección que garantizan que el 35 % de los fondos se destinen a medidas que aborden la transición verde, la sostenibilidad y la eficiencia energética/electromovilidad en los destinos.   </w:t>
      </w:r>
    </w:p>
    <w:p w14:paraId="15ADF7BE" w14:textId="77777777" w:rsidR="003E2905" w:rsidRPr="003E2905" w:rsidRDefault="003E2905" w:rsidP="00F209AA">
      <w:pPr>
        <w:tabs>
          <w:tab w:val="left" w:pos="426"/>
        </w:tabs>
        <w:spacing w:line="276" w:lineRule="auto"/>
        <w:ind w:left="426" w:right="-427"/>
        <w:jc w:val="both"/>
        <w:rPr>
          <w:rFonts w:ascii="Arial" w:eastAsiaTheme="minorHAnsi" w:hAnsi="Arial" w:cs="Arial"/>
          <w:bCs/>
          <w:sz w:val="22"/>
          <w:szCs w:val="22"/>
          <w:lang w:val="es-ES" w:eastAsia="en-US"/>
        </w:rPr>
      </w:pPr>
    </w:p>
    <w:p w14:paraId="7F9A7C9C" w14:textId="6A115A0F" w:rsidR="003E2905" w:rsidRPr="003E2905" w:rsidRDefault="003E2905" w:rsidP="00F209AA">
      <w:pPr>
        <w:pStyle w:val="Prrafodelista"/>
        <w:numPr>
          <w:ilvl w:val="0"/>
          <w:numId w:val="25"/>
        </w:numPr>
        <w:tabs>
          <w:tab w:val="left" w:pos="426"/>
        </w:tabs>
        <w:spacing w:line="276" w:lineRule="auto"/>
        <w:ind w:right="-427"/>
        <w:jc w:val="both"/>
        <w:rPr>
          <w:rFonts w:ascii="Arial" w:hAnsi="Arial" w:cs="Arial"/>
          <w:bCs/>
        </w:rPr>
      </w:pPr>
      <w:r w:rsidRPr="004D451B">
        <w:rPr>
          <w:rFonts w:ascii="Arial" w:hAnsi="Arial" w:cs="Arial"/>
          <w:b/>
          <w:bCs/>
        </w:rPr>
        <w:t>Objetivo nº 219 del CID</w:t>
      </w:r>
      <w:r w:rsidRPr="003E2905">
        <w:rPr>
          <w:rFonts w:ascii="Arial" w:hAnsi="Arial" w:cs="Arial"/>
          <w:bCs/>
        </w:rPr>
        <w:t>: cuarto trimestre 2023: publicación en el BOE de la adjudicación a las Entidades Locales de ayudas para la aplicación de los «Planes Territoriales de Sostenibilidad Turística en Destinos» por un importe mínimo de 1 788 600 000 EUR (valor de referencia: 31 de diciembre de 2022), de los cuales, el 35 % se destinará a financiar medidas que aborden la transición verde, la sostenibilidad y la eficiencia energética/electromovilidad en los destinos.</w:t>
      </w:r>
    </w:p>
    <w:p w14:paraId="64AB6036" w14:textId="77777777" w:rsidR="003E2905" w:rsidRPr="003E2905" w:rsidRDefault="003E2905" w:rsidP="00F209AA">
      <w:pPr>
        <w:tabs>
          <w:tab w:val="left" w:pos="426"/>
        </w:tabs>
        <w:spacing w:line="276" w:lineRule="auto"/>
        <w:ind w:left="78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El mecanismo de verificación correspondiente a este objetivo es el documento de síntesis en el que se justifique debidamente cómo se ha cumplido el objetivo (incluidos los elementos pertinentes del objetivo, tal y como se enumeran en la descripción del objetivo y de la medida correspondiente en el anexo de la CID) de forma satisfactoria.</w:t>
      </w:r>
    </w:p>
    <w:p w14:paraId="1D96D50E" w14:textId="77777777" w:rsidR="003E2905" w:rsidRPr="003E2905" w:rsidRDefault="003E2905" w:rsidP="00F209AA">
      <w:pPr>
        <w:tabs>
          <w:tab w:val="left" w:pos="426"/>
        </w:tabs>
        <w:spacing w:line="276" w:lineRule="auto"/>
        <w:ind w:left="78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El documento de síntesis incluirá como anexo las siguientes pruebas documentales:</w:t>
      </w:r>
    </w:p>
    <w:p w14:paraId="3E7840F8" w14:textId="77777777" w:rsidR="003E2905" w:rsidRPr="003E2905" w:rsidRDefault="003E2905" w:rsidP="00F209AA">
      <w:pPr>
        <w:tabs>
          <w:tab w:val="left" w:pos="426"/>
        </w:tabs>
        <w:spacing w:line="276" w:lineRule="auto"/>
        <w:ind w:left="78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1) Copia del Acuerdo de la Conferencia Sectorial de Turismo, y enlace a su publicación en el Diario Oficial;</w:t>
      </w:r>
    </w:p>
    <w:p w14:paraId="26613D7E" w14:textId="77777777" w:rsidR="003E2905" w:rsidRPr="003E2905" w:rsidRDefault="003E2905" w:rsidP="00F209AA">
      <w:pPr>
        <w:tabs>
          <w:tab w:val="left" w:pos="426"/>
        </w:tabs>
        <w:spacing w:line="276" w:lineRule="auto"/>
        <w:ind w:left="78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2) extracto de los documentos oficiales que contengan los criterios de selección que garanticen el cumplimiento de la Guía Técnica "No hacer daño significativo" (2021/C58/01), tal y como se especifica en el Anexo del CID;</w:t>
      </w:r>
    </w:p>
    <w:p w14:paraId="7B80C49D" w14:textId="77777777" w:rsidR="003E2905" w:rsidRPr="003E2905" w:rsidRDefault="003E2905" w:rsidP="00F209AA">
      <w:pPr>
        <w:tabs>
          <w:tab w:val="left" w:pos="426"/>
        </w:tabs>
        <w:spacing w:line="276" w:lineRule="auto"/>
        <w:ind w:left="78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3) extracto de los documentos oficiales que contienen los criterios de selección que garantizan el cumplimiento de las cantidades que contribuyen a los objetivos de cambio climático especificados en la descripción de la medida, en consonancia con el anexo VI del Reglamento (UE) 2021/241 del Mecanismo de Recuperación y Resiliencia.</w:t>
      </w:r>
    </w:p>
    <w:p w14:paraId="2E65CB31" w14:textId="77777777" w:rsidR="003E2905" w:rsidRDefault="003E2905" w:rsidP="00F209AA">
      <w:pPr>
        <w:tabs>
          <w:tab w:val="left" w:pos="426"/>
        </w:tabs>
        <w:spacing w:line="276" w:lineRule="auto"/>
        <w:ind w:left="78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 xml:space="preserve">4) extracto de los documentos oficiales que contienen los criterios de selección que garantizan que el 35 % de los fondos se destinen a medidas que aborden la transición verde, la sostenibilidad y la eficiencia energética/electromovilidad en los destinos.  </w:t>
      </w:r>
    </w:p>
    <w:p w14:paraId="5DEF8701" w14:textId="77777777" w:rsidR="003E2905" w:rsidRDefault="003E2905" w:rsidP="00F209AA">
      <w:pPr>
        <w:tabs>
          <w:tab w:val="left" w:pos="426"/>
        </w:tabs>
        <w:spacing w:line="276" w:lineRule="auto"/>
        <w:ind w:left="426" w:right="-427"/>
        <w:jc w:val="both"/>
        <w:rPr>
          <w:rFonts w:ascii="Arial" w:eastAsiaTheme="minorHAnsi" w:hAnsi="Arial" w:cs="Arial"/>
          <w:bCs/>
          <w:sz w:val="22"/>
          <w:szCs w:val="22"/>
          <w:lang w:val="es-ES" w:eastAsia="en-US"/>
        </w:rPr>
      </w:pPr>
    </w:p>
    <w:p w14:paraId="1603C3EF" w14:textId="18337142" w:rsidR="003E2905" w:rsidRPr="003E2905" w:rsidRDefault="003E2905" w:rsidP="00F209AA">
      <w:pPr>
        <w:pStyle w:val="Prrafodelista"/>
        <w:numPr>
          <w:ilvl w:val="0"/>
          <w:numId w:val="25"/>
        </w:numPr>
        <w:tabs>
          <w:tab w:val="left" w:pos="426"/>
        </w:tabs>
        <w:spacing w:line="276" w:lineRule="auto"/>
        <w:ind w:right="-427"/>
        <w:jc w:val="both"/>
        <w:rPr>
          <w:rFonts w:ascii="Arial" w:hAnsi="Arial" w:cs="Arial"/>
          <w:bCs/>
        </w:rPr>
      </w:pPr>
      <w:r w:rsidRPr="004D451B">
        <w:rPr>
          <w:rFonts w:ascii="Arial" w:hAnsi="Arial" w:cs="Arial"/>
          <w:b/>
          <w:bCs/>
        </w:rPr>
        <w:t>Objetivo nº 220 del CID</w:t>
      </w:r>
      <w:r w:rsidRPr="003E2905">
        <w:rPr>
          <w:rFonts w:ascii="Arial" w:hAnsi="Arial" w:cs="Arial"/>
          <w:bCs/>
        </w:rPr>
        <w:t xml:space="preserve">: cuarto trimestre 2024: las Comisiones de Seguimiento se asegurarán de que todos los destinos beneficiarios logren como mínimo los siguientes porcentajes de ejecución de cada Plan de Sostenibilidad Turística.  </w:t>
      </w:r>
    </w:p>
    <w:p w14:paraId="298055E8" w14:textId="77777777" w:rsidR="003E2905" w:rsidRPr="003E2905" w:rsidRDefault="003E2905" w:rsidP="00F209AA">
      <w:pPr>
        <w:tabs>
          <w:tab w:val="left" w:pos="426"/>
        </w:tabs>
        <w:spacing w:line="276" w:lineRule="auto"/>
        <w:ind w:left="141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 xml:space="preserve">- Ejecución del 75 % en el caso de los destinos adjudicados en 2021. </w:t>
      </w:r>
    </w:p>
    <w:p w14:paraId="3B6C73F5" w14:textId="77777777" w:rsidR="003E2905" w:rsidRPr="003E2905" w:rsidRDefault="003E2905" w:rsidP="00F209AA">
      <w:pPr>
        <w:tabs>
          <w:tab w:val="left" w:pos="426"/>
        </w:tabs>
        <w:spacing w:line="276" w:lineRule="auto"/>
        <w:ind w:left="141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 Ejecución del 50 % en el caso de los destinos adjudicados en 2022.</w:t>
      </w:r>
    </w:p>
    <w:p w14:paraId="4AA94D34" w14:textId="2946A5F6" w:rsidR="003E2905" w:rsidRDefault="003E2905" w:rsidP="00F209AA">
      <w:pPr>
        <w:tabs>
          <w:tab w:val="left" w:pos="426"/>
        </w:tabs>
        <w:spacing w:line="276" w:lineRule="auto"/>
        <w:ind w:left="1416"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 Ejecución del 25 % en el caso de los destinos adjudicados en 2023.</w:t>
      </w:r>
    </w:p>
    <w:p w14:paraId="16599E8B" w14:textId="7D66E013" w:rsidR="007F1F5A" w:rsidRDefault="007F1F5A" w:rsidP="004D451B">
      <w:pPr>
        <w:tabs>
          <w:tab w:val="left" w:pos="426"/>
        </w:tabs>
        <w:spacing w:line="276" w:lineRule="auto"/>
        <w:ind w:right="-427"/>
        <w:jc w:val="both"/>
        <w:rPr>
          <w:rFonts w:ascii="Arial" w:eastAsiaTheme="minorHAnsi" w:hAnsi="Arial" w:cs="Arial"/>
          <w:bCs/>
          <w:sz w:val="22"/>
          <w:szCs w:val="22"/>
          <w:lang w:val="es-ES" w:eastAsia="en-US"/>
        </w:rPr>
      </w:pPr>
    </w:p>
    <w:p w14:paraId="16A9A7E9" w14:textId="77777777" w:rsidR="007F1F5A" w:rsidRDefault="007F1F5A" w:rsidP="004D451B">
      <w:pPr>
        <w:pStyle w:val="Default"/>
      </w:pPr>
      <w:r>
        <w:t>El porcentaje de ejecución se recogerá de conformidad con lo establecido en el mecanismo de verificación incluido en el acuerdo de disposiciones operativas (OA).</w:t>
      </w:r>
    </w:p>
    <w:p w14:paraId="6EAF25D8" w14:textId="77777777" w:rsidR="007F1F5A" w:rsidRDefault="007F1F5A" w:rsidP="004D451B">
      <w:pPr>
        <w:tabs>
          <w:tab w:val="left" w:pos="426"/>
        </w:tabs>
        <w:spacing w:line="276" w:lineRule="auto"/>
        <w:ind w:right="-427"/>
        <w:jc w:val="both"/>
        <w:rPr>
          <w:rFonts w:ascii="Arial" w:eastAsiaTheme="minorHAnsi" w:hAnsi="Arial" w:cs="Arial"/>
          <w:bCs/>
          <w:sz w:val="22"/>
          <w:szCs w:val="22"/>
          <w:lang w:val="es-ES" w:eastAsia="en-US"/>
        </w:rPr>
      </w:pPr>
    </w:p>
    <w:p w14:paraId="158A0AFD" w14:textId="77777777" w:rsidR="00C50C22" w:rsidRPr="003E2905" w:rsidRDefault="00C50C22" w:rsidP="00F209AA">
      <w:pPr>
        <w:tabs>
          <w:tab w:val="left" w:pos="426"/>
        </w:tabs>
        <w:spacing w:line="276" w:lineRule="auto"/>
        <w:ind w:left="1416" w:right="-427"/>
        <w:jc w:val="both"/>
        <w:rPr>
          <w:rFonts w:ascii="Arial" w:eastAsiaTheme="minorHAnsi" w:hAnsi="Arial" w:cs="Arial"/>
          <w:bCs/>
          <w:sz w:val="22"/>
          <w:szCs w:val="22"/>
          <w:lang w:val="es-ES" w:eastAsia="en-US"/>
        </w:rPr>
      </w:pPr>
    </w:p>
    <w:p w14:paraId="5C039D81" w14:textId="77777777" w:rsidR="003E2905" w:rsidRPr="003E2905" w:rsidRDefault="003E2905" w:rsidP="00F209AA">
      <w:pPr>
        <w:tabs>
          <w:tab w:val="left" w:pos="426"/>
        </w:tabs>
        <w:spacing w:line="276" w:lineRule="auto"/>
        <w:ind w:left="851"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El mecanismo de verificación establecido para este objetivo es el documento de síntesis que justifique debidamente cómo se ha cumplido el hito (incluyendo los elementos relevantes del hito, tal y como se enumeran en la descripción del hito y de la medida correspondiente en el anexo de la CID) de forma satisfactoria.</w:t>
      </w:r>
    </w:p>
    <w:p w14:paraId="30F0DE01" w14:textId="16F4BCD2" w:rsidR="003E2905" w:rsidRDefault="003E2905" w:rsidP="00F209AA">
      <w:pPr>
        <w:tabs>
          <w:tab w:val="left" w:pos="426"/>
        </w:tabs>
        <w:spacing w:line="276" w:lineRule="auto"/>
        <w:ind w:left="851" w:right="-427"/>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Este documento incluirá como anexo las siguientes pruebas documentales: a) lista de proyectos adjudicados y beneficiarios; e</w:t>
      </w:r>
      <w:r w:rsidRPr="003E2905">
        <w:rPr>
          <w:rFonts w:ascii="Arial" w:eastAsiaTheme="minorHAnsi" w:hAnsi="Arial" w:cs="Arial"/>
          <w:bCs/>
          <w:sz w:val="22"/>
          <w:szCs w:val="22"/>
          <w:lang w:val="es-ES" w:eastAsia="en-US"/>
        </w:rPr>
        <w:tab/>
        <w:t xml:space="preserve">b) informe de progreso de cada proyecto, incluyendo su nivel de ejecución (en %).  </w:t>
      </w:r>
    </w:p>
    <w:p w14:paraId="27E7FA03" w14:textId="77777777" w:rsidR="003E2905" w:rsidRDefault="003E2905" w:rsidP="00F209AA">
      <w:pPr>
        <w:tabs>
          <w:tab w:val="left" w:pos="426"/>
        </w:tabs>
        <w:spacing w:line="276" w:lineRule="auto"/>
        <w:ind w:left="426" w:right="-427"/>
        <w:jc w:val="both"/>
        <w:rPr>
          <w:rFonts w:ascii="Arial" w:eastAsiaTheme="minorHAnsi" w:hAnsi="Arial" w:cs="Arial"/>
          <w:bCs/>
          <w:sz w:val="22"/>
          <w:szCs w:val="22"/>
          <w:lang w:val="es-ES" w:eastAsia="en-US"/>
        </w:rPr>
      </w:pPr>
    </w:p>
    <w:p w14:paraId="30B577A5" w14:textId="2CAC491D" w:rsidR="003E2905" w:rsidRPr="003E2905" w:rsidRDefault="003E2905" w:rsidP="00F209AA">
      <w:pPr>
        <w:pStyle w:val="Prrafodelista"/>
        <w:numPr>
          <w:ilvl w:val="0"/>
          <w:numId w:val="25"/>
        </w:numPr>
        <w:tabs>
          <w:tab w:val="left" w:pos="426"/>
        </w:tabs>
        <w:spacing w:line="276" w:lineRule="auto"/>
        <w:ind w:right="-427"/>
        <w:jc w:val="both"/>
        <w:rPr>
          <w:rFonts w:ascii="Arial" w:hAnsi="Arial" w:cs="Arial"/>
          <w:bCs/>
        </w:rPr>
      </w:pPr>
      <w:r w:rsidRPr="004D451B">
        <w:rPr>
          <w:rFonts w:ascii="Arial" w:hAnsi="Arial" w:cs="Arial"/>
          <w:b/>
          <w:bCs/>
        </w:rPr>
        <w:t>Objetivo nº 221 del CID</w:t>
      </w:r>
      <w:r w:rsidRPr="003E2905">
        <w:rPr>
          <w:rFonts w:ascii="Arial" w:hAnsi="Arial" w:cs="Arial"/>
          <w:bCs/>
        </w:rPr>
        <w:t>: segundo trimestre 2026: finalización de todos los proyectos incluidos en los «Planes Territoriales de Sostenibilidad Turística en Destinos» y adjudicados en consonancia con los objetivos 211, 212 y 213, el 35 % de cuyos fondos se destinarán a financiar medidas que aborden la transición verde, la sostenibilidad y la eficiencia energética/electromovilidad en los destinos.</w:t>
      </w:r>
    </w:p>
    <w:p w14:paraId="3CBBCB42" w14:textId="77777777" w:rsidR="003E2905" w:rsidRPr="003E2905" w:rsidRDefault="003E2905" w:rsidP="00F209AA">
      <w:pPr>
        <w:tabs>
          <w:tab w:val="left" w:pos="426"/>
        </w:tabs>
        <w:spacing w:line="276" w:lineRule="auto"/>
        <w:ind w:left="851" w:right="-427" w:hanging="1"/>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El mecanismo de verificación establecido para este objetivo es el documento resumen en el que se justifique debidamente cómo se ha cumplido el hito (incluyendo los elementos relevantes del mismo, tal y como se enumeran en la descripción del hito y de la medida correspondiente en el anexo de la CID) de forma satisfactoria.</w:t>
      </w:r>
    </w:p>
    <w:p w14:paraId="5BDF29F2" w14:textId="0B718669" w:rsidR="00F26CED" w:rsidRPr="00B30385" w:rsidRDefault="003E2905" w:rsidP="00F209AA">
      <w:pPr>
        <w:tabs>
          <w:tab w:val="left" w:pos="426"/>
        </w:tabs>
        <w:spacing w:line="276" w:lineRule="auto"/>
        <w:ind w:left="851" w:right="-427" w:hanging="1"/>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 xml:space="preserve">Este documento incluirá como anexo las siguientes pruebas y elementos documentales:  una lista de los proyectos indicando para cada uno de ellos: a) el nombre, la ubicación y una breve descripción; y b) la declaración de la terminación de las obras.  </w:t>
      </w:r>
    </w:p>
    <w:p w14:paraId="5F1427F2" w14:textId="12471297" w:rsidR="00092400" w:rsidRPr="00B30385" w:rsidRDefault="00092400" w:rsidP="00F209AA">
      <w:pPr>
        <w:tabs>
          <w:tab w:val="left" w:pos="426"/>
        </w:tabs>
        <w:spacing w:line="276" w:lineRule="auto"/>
        <w:ind w:right="-427"/>
        <w:jc w:val="both"/>
        <w:rPr>
          <w:rFonts w:ascii="Arial" w:eastAsiaTheme="minorHAnsi" w:hAnsi="Arial" w:cs="Arial"/>
          <w:bCs/>
          <w:sz w:val="22"/>
          <w:szCs w:val="22"/>
          <w:lang w:val="es-ES" w:eastAsia="en-US"/>
        </w:rPr>
      </w:pPr>
    </w:p>
    <w:p w14:paraId="234D6A79" w14:textId="039E9BBF" w:rsidR="004E2593" w:rsidRPr="00B30385" w:rsidRDefault="004E2593" w:rsidP="00F209AA">
      <w:pPr>
        <w:autoSpaceDE w:val="0"/>
        <w:autoSpaceDN w:val="0"/>
        <w:adjustRightInd w:val="0"/>
        <w:spacing w:line="276" w:lineRule="auto"/>
        <w:ind w:right="-427"/>
        <w:jc w:val="both"/>
        <w:rPr>
          <w:rFonts w:ascii="Arial" w:eastAsiaTheme="minorHAnsi" w:hAnsi="Arial" w:cs="Arial"/>
          <w:bCs/>
          <w:sz w:val="22"/>
          <w:szCs w:val="22"/>
          <w:lang w:val="es-ES" w:eastAsia="en-US"/>
        </w:rPr>
      </w:pPr>
      <w:r w:rsidRPr="00B30385">
        <w:rPr>
          <w:rFonts w:ascii="Arial" w:eastAsiaTheme="minorHAnsi" w:hAnsi="Arial" w:cs="Arial"/>
          <w:b/>
          <w:bCs/>
          <w:sz w:val="22"/>
          <w:szCs w:val="22"/>
          <w:lang w:val="es-ES" w:eastAsia="en-US"/>
        </w:rPr>
        <w:t>Criterios objetivos de asignación utilizados</w:t>
      </w:r>
      <w:r w:rsidR="0015470D" w:rsidRPr="00B30385">
        <w:rPr>
          <w:rFonts w:ascii="Arial" w:eastAsiaTheme="minorHAnsi" w:hAnsi="Arial" w:cs="Arial"/>
          <w:b/>
          <w:bCs/>
          <w:sz w:val="22"/>
          <w:szCs w:val="22"/>
          <w:lang w:val="es-ES" w:eastAsia="en-US"/>
        </w:rPr>
        <w:t xml:space="preserve">: </w:t>
      </w:r>
      <w:r w:rsidR="0015470D" w:rsidRPr="00B30385">
        <w:rPr>
          <w:rFonts w:ascii="Arial" w:eastAsiaTheme="minorHAnsi" w:hAnsi="Arial" w:cs="Arial"/>
          <w:bCs/>
          <w:sz w:val="22"/>
          <w:szCs w:val="22"/>
          <w:lang w:val="es-ES" w:eastAsia="en-US"/>
        </w:rPr>
        <w:t>en aplicación de lo dispuesto en el artículo 86.2 de la Ley 47/2003, de 26 de noviembre, los criterios objetivos que sirven de base para la distribución territorial de los créditos presupuestarios son los siguientes:</w:t>
      </w:r>
    </w:p>
    <w:p w14:paraId="01030417" w14:textId="4D9CD3CE" w:rsidR="00B60F7C" w:rsidRPr="00B30385" w:rsidRDefault="00B60F7C" w:rsidP="00F209AA">
      <w:pPr>
        <w:tabs>
          <w:tab w:val="left" w:pos="426"/>
        </w:tabs>
        <w:spacing w:line="276" w:lineRule="auto"/>
        <w:ind w:right="-427"/>
        <w:jc w:val="both"/>
        <w:rPr>
          <w:rFonts w:ascii="Arial" w:eastAsiaTheme="minorHAnsi" w:hAnsi="Arial" w:cs="Arial"/>
          <w:bCs/>
          <w:sz w:val="22"/>
          <w:szCs w:val="22"/>
          <w:lang w:val="es-ES" w:eastAsia="en-US"/>
        </w:rPr>
      </w:pPr>
    </w:p>
    <w:p w14:paraId="6BC090FD" w14:textId="3BFE10D4" w:rsidR="00B60F7C" w:rsidRPr="00B30385" w:rsidRDefault="00B60F7C" w:rsidP="00F209AA">
      <w:pPr>
        <w:tabs>
          <w:tab w:val="left" w:pos="426"/>
        </w:tabs>
        <w:spacing w:line="276" w:lineRule="auto"/>
        <w:ind w:left="426" w:right="-427"/>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w:t>
      </w:r>
      <w:r w:rsidRPr="00B30385">
        <w:rPr>
          <w:rFonts w:ascii="Arial" w:eastAsiaTheme="minorHAnsi" w:hAnsi="Arial" w:cs="Arial"/>
          <w:bCs/>
          <w:sz w:val="22"/>
          <w:szCs w:val="22"/>
          <w:lang w:val="es-ES" w:eastAsia="en-US"/>
        </w:rPr>
        <w:tab/>
      </w:r>
      <w:r w:rsidR="0015470D" w:rsidRPr="00B30385">
        <w:rPr>
          <w:rFonts w:ascii="Arial" w:eastAsiaTheme="minorHAnsi" w:hAnsi="Arial" w:cs="Arial"/>
          <w:bCs/>
          <w:sz w:val="22"/>
          <w:szCs w:val="22"/>
          <w:lang w:val="es-ES" w:eastAsia="en-US"/>
        </w:rPr>
        <w:t>Criterios económicos</w:t>
      </w:r>
      <w:r w:rsidRPr="00B30385">
        <w:rPr>
          <w:rFonts w:ascii="Arial" w:eastAsiaTheme="minorHAnsi" w:hAnsi="Arial" w:cs="Arial"/>
          <w:bCs/>
          <w:sz w:val="22"/>
          <w:szCs w:val="22"/>
          <w:lang w:val="es-ES" w:eastAsia="en-US"/>
        </w:rPr>
        <w:t>:</w:t>
      </w:r>
    </w:p>
    <w:p w14:paraId="55872150" w14:textId="54F5E883" w:rsidR="00B60F7C" w:rsidRPr="00C50C22" w:rsidRDefault="00944895" w:rsidP="00F209AA">
      <w:pPr>
        <w:pStyle w:val="Prrafodelista"/>
        <w:numPr>
          <w:ilvl w:val="0"/>
          <w:numId w:val="26"/>
        </w:numPr>
        <w:tabs>
          <w:tab w:val="left" w:pos="426"/>
        </w:tabs>
        <w:spacing w:line="276" w:lineRule="auto"/>
        <w:ind w:right="-427"/>
        <w:jc w:val="both"/>
        <w:rPr>
          <w:rFonts w:ascii="Arial" w:hAnsi="Arial" w:cs="Arial"/>
          <w:bCs/>
        </w:rPr>
      </w:pPr>
      <w:r w:rsidRPr="00C50C22">
        <w:rPr>
          <w:rStyle w:val="Refdecomentario"/>
          <w:rFonts w:ascii="Arial" w:hAnsi="Arial" w:cs="Arial"/>
          <w:sz w:val="22"/>
          <w:szCs w:val="22"/>
        </w:rPr>
        <w:t>Porcentaje</w:t>
      </w:r>
      <w:r w:rsidRPr="00C50C22">
        <w:rPr>
          <w:rFonts w:ascii="Arial" w:hAnsi="Arial" w:cs="Arial"/>
          <w:bCs/>
        </w:rPr>
        <w:t xml:space="preserve"> </w:t>
      </w:r>
      <w:r w:rsidR="00B60F7C" w:rsidRPr="00C50C22">
        <w:rPr>
          <w:rFonts w:ascii="Arial" w:hAnsi="Arial" w:cs="Arial"/>
          <w:bCs/>
        </w:rPr>
        <w:t>de PIB turístico respecto PIB autonómico.</w:t>
      </w:r>
    </w:p>
    <w:p w14:paraId="3C15D28E" w14:textId="5B18BE88" w:rsidR="00B60F7C" w:rsidRPr="00B30385" w:rsidRDefault="00B60F7C" w:rsidP="00F209AA">
      <w:pPr>
        <w:pStyle w:val="Prrafodelista"/>
        <w:numPr>
          <w:ilvl w:val="0"/>
          <w:numId w:val="26"/>
        </w:numPr>
        <w:tabs>
          <w:tab w:val="left" w:pos="426"/>
        </w:tabs>
        <w:spacing w:line="276" w:lineRule="auto"/>
        <w:ind w:right="-427"/>
        <w:jc w:val="both"/>
        <w:rPr>
          <w:rFonts w:ascii="Arial" w:hAnsi="Arial" w:cs="Arial"/>
          <w:bCs/>
        </w:rPr>
      </w:pPr>
      <w:r w:rsidRPr="00B30385">
        <w:rPr>
          <w:rFonts w:ascii="Arial" w:hAnsi="Arial" w:cs="Arial"/>
          <w:bCs/>
        </w:rPr>
        <w:t>Caída en la afiliación de trabajadores del sector turístico diciembre 2019 a diciembre 2020.</w:t>
      </w:r>
    </w:p>
    <w:p w14:paraId="2C3B58EB" w14:textId="07D5F58A" w:rsidR="00B60F7C" w:rsidRPr="00B30385" w:rsidRDefault="0015470D" w:rsidP="00F209AA">
      <w:pPr>
        <w:tabs>
          <w:tab w:val="left" w:pos="426"/>
        </w:tabs>
        <w:spacing w:line="276" w:lineRule="auto"/>
        <w:ind w:left="426" w:right="-427"/>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w:t>
      </w:r>
      <w:r w:rsidRPr="00B30385">
        <w:rPr>
          <w:rFonts w:ascii="Arial" w:eastAsiaTheme="minorHAnsi" w:hAnsi="Arial" w:cs="Arial"/>
          <w:bCs/>
          <w:sz w:val="22"/>
          <w:szCs w:val="22"/>
          <w:lang w:val="es-ES" w:eastAsia="en-US"/>
        </w:rPr>
        <w:tab/>
        <w:t>Criterios t</w:t>
      </w:r>
      <w:r w:rsidR="00B60F7C" w:rsidRPr="00B30385">
        <w:rPr>
          <w:rFonts w:ascii="Arial" w:eastAsiaTheme="minorHAnsi" w:hAnsi="Arial" w:cs="Arial"/>
          <w:bCs/>
          <w:sz w:val="22"/>
          <w:szCs w:val="22"/>
          <w:lang w:val="es-ES" w:eastAsia="en-US"/>
        </w:rPr>
        <w:t>erritoriales:</w:t>
      </w:r>
    </w:p>
    <w:p w14:paraId="7BCF0636" w14:textId="726094F5" w:rsidR="00B60F7C" w:rsidRPr="00B30385" w:rsidRDefault="00944895" w:rsidP="00F209AA">
      <w:pPr>
        <w:pStyle w:val="Prrafodelista"/>
        <w:numPr>
          <w:ilvl w:val="0"/>
          <w:numId w:val="26"/>
        </w:numPr>
        <w:tabs>
          <w:tab w:val="left" w:pos="426"/>
        </w:tabs>
        <w:spacing w:line="276" w:lineRule="auto"/>
        <w:ind w:right="-427"/>
        <w:jc w:val="both"/>
        <w:rPr>
          <w:rFonts w:ascii="Arial" w:hAnsi="Arial" w:cs="Arial"/>
          <w:bCs/>
        </w:rPr>
      </w:pPr>
      <w:r w:rsidRPr="00B30385">
        <w:rPr>
          <w:rFonts w:ascii="Arial" w:hAnsi="Arial" w:cs="Arial"/>
          <w:bCs/>
        </w:rPr>
        <w:t>Porcentaje de s</w:t>
      </w:r>
      <w:r w:rsidR="00B60F7C" w:rsidRPr="00B30385">
        <w:rPr>
          <w:rFonts w:ascii="Arial" w:hAnsi="Arial" w:cs="Arial"/>
          <w:bCs/>
        </w:rPr>
        <w:t xml:space="preserve">uperficie de cada </w:t>
      </w:r>
      <w:r w:rsidR="00CC427F" w:rsidRPr="00B30385">
        <w:rPr>
          <w:rFonts w:ascii="Arial" w:hAnsi="Arial" w:cs="Arial"/>
          <w:bCs/>
        </w:rPr>
        <w:t xml:space="preserve">comunidad autónoma </w:t>
      </w:r>
      <w:r w:rsidR="00B60F7C" w:rsidRPr="00B30385">
        <w:rPr>
          <w:rFonts w:ascii="Arial" w:hAnsi="Arial" w:cs="Arial"/>
          <w:bCs/>
        </w:rPr>
        <w:t>respecto a la superficie nacional.</w:t>
      </w:r>
    </w:p>
    <w:p w14:paraId="502E3376" w14:textId="3D2836AB" w:rsidR="00B60F7C" w:rsidRPr="00B30385" w:rsidRDefault="00B60F7C" w:rsidP="00F209AA">
      <w:pPr>
        <w:pStyle w:val="Prrafodelista"/>
        <w:numPr>
          <w:ilvl w:val="0"/>
          <w:numId w:val="26"/>
        </w:numPr>
        <w:tabs>
          <w:tab w:val="left" w:pos="426"/>
        </w:tabs>
        <w:spacing w:line="276" w:lineRule="auto"/>
        <w:ind w:right="-427"/>
        <w:jc w:val="both"/>
        <w:rPr>
          <w:rFonts w:ascii="Arial" w:hAnsi="Arial" w:cs="Arial"/>
          <w:bCs/>
        </w:rPr>
      </w:pPr>
      <w:r w:rsidRPr="00B30385">
        <w:rPr>
          <w:rFonts w:ascii="Arial" w:hAnsi="Arial" w:cs="Arial"/>
          <w:bCs/>
        </w:rPr>
        <w:t xml:space="preserve">Densidad población de cada </w:t>
      </w:r>
      <w:r w:rsidR="00CC427F" w:rsidRPr="00B30385">
        <w:rPr>
          <w:rFonts w:ascii="Arial" w:hAnsi="Arial" w:cs="Arial"/>
          <w:bCs/>
        </w:rPr>
        <w:t>comunidad autónoma (habitantes</w:t>
      </w:r>
      <w:r w:rsidRPr="00B30385">
        <w:rPr>
          <w:rFonts w:ascii="Arial" w:hAnsi="Arial" w:cs="Arial"/>
          <w:bCs/>
        </w:rPr>
        <w:t>/km2</w:t>
      </w:r>
      <w:r w:rsidR="00CC427F" w:rsidRPr="00B30385">
        <w:rPr>
          <w:rFonts w:ascii="Arial" w:hAnsi="Arial" w:cs="Arial"/>
          <w:bCs/>
        </w:rPr>
        <w:t>)</w:t>
      </w:r>
      <w:r w:rsidRPr="00B30385">
        <w:rPr>
          <w:rFonts w:ascii="Arial" w:hAnsi="Arial" w:cs="Arial"/>
          <w:bCs/>
        </w:rPr>
        <w:t>.</w:t>
      </w:r>
    </w:p>
    <w:p w14:paraId="17791ACC" w14:textId="4C9C8915" w:rsidR="00B60F7C" w:rsidRPr="00B30385" w:rsidRDefault="0015470D" w:rsidP="00F209AA">
      <w:pPr>
        <w:tabs>
          <w:tab w:val="left" w:pos="426"/>
        </w:tabs>
        <w:spacing w:line="276" w:lineRule="auto"/>
        <w:ind w:left="426" w:right="-427"/>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w:t>
      </w:r>
      <w:r w:rsidRPr="00B30385">
        <w:rPr>
          <w:rFonts w:ascii="Arial" w:eastAsiaTheme="minorHAnsi" w:hAnsi="Arial" w:cs="Arial"/>
          <w:bCs/>
          <w:sz w:val="22"/>
          <w:szCs w:val="22"/>
          <w:lang w:val="es-ES" w:eastAsia="en-US"/>
        </w:rPr>
        <w:tab/>
        <w:t>Criterios t</w:t>
      </w:r>
      <w:r w:rsidR="00B60F7C" w:rsidRPr="00B30385">
        <w:rPr>
          <w:rFonts w:ascii="Arial" w:eastAsiaTheme="minorHAnsi" w:hAnsi="Arial" w:cs="Arial"/>
          <w:bCs/>
          <w:sz w:val="22"/>
          <w:szCs w:val="22"/>
          <w:lang w:val="es-ES" w:eastAsia="en-US"/>
        </w:rPr>
        <w:t>urísticos:</w:t>
      </w:r>
    </w:p>
    <w:p w14:paraId="1C05D14A" w14:textId="4C4F1B43" w:rsidR="00B60F7C" w:rsidRPr="00B30385" w:rsidRDefault="00B60F7C" w:rsidP="00F209AA">
      <w:pPr>
        <w:pStyle w:val="Prrafodelista"/>
        <w:numPr>
          <w:ilvl w:val="0"/>
          <w:numId w:val="26"/>
        </w:numPr>
        <w:tabs>
          <w:tab w:val="left" w:pos="426"/>
        </w:tabs>
        <w:spacing w:line="276" w:lineRule="auto"/>
        <w:ind w:right="-427"/>
        <w:jc w:val="both"/>
        <w:rPr>
          <w:rFonts w:ascii="Arial" w:hAnsi="Arial" w:cs="Arial"/>
          <w:bCs/>
        </w:rPr>
      </w:pPr>
      <w:r w:rsidRPr="00B30385">
        <w:rPr>
          <w:rFonts w:ascii="Arial" w:hAnsi="Arial" w:cs="Arial"/>
          <w:bCs/>
        </w:rPr>
        <w:t xml:space="preserve">Número de turistas </w:t>
      </w:r>
      <w:r w:rsidR="00CC427F" w:rsidRPr="00B30385">
        <w:rPr>
          <w:rFonts w:ascii="Arial" w:hAnsi="Arial" w:cs="Arial"/>
          <w:bCs/>
        </w:rPr>
        <w:t xml:space="preserve">en </w:t>
      </w:r>
      <w:r w:rsidRPr="00B30385">
        <w:rPr>
          <w:rFonts w:ascii="Arial" w:hAnsi="Arial" w:cs="Arial"/>
          <w:bCs/>
        </w:rPr>
        <w:t>2019.</w:t>
      </w:r>
    </w:p>
    <w:p w14:paraId="263ABACF" w14:textId="05226630" w:rsidR="00B60F7C" w:rsidRPr="00B30385" w:rsidRDefault="00B60F7C" w:rsidP="00F209AA">
      <w:pPr>
        <w:pStyle w:val="Prrafodelista"/>
        <w:numPr>
          <w:ilvl w:val="0"/>
          <w:numId w:val="26"/>
        </w:numPr>
        <w:tabs>
          <w:tab w:val="left" w:pos="426"/>
        </w:tabs>
        <w:spacing w:line="276" w:lineRule="auto"/>
        <w:ind w:right="-427"/>
        <w:jc w:val="both"/>
        <w:rPr>
          <w:rFonts w:ascii="Arial" w:hAnsi="Arial" w:cs="Arial"/>
          <w:bCs/>
        </w:rPr>
      </w:pPr>
      <w:r w:rsidRPr="00B30385">
        <w:rPr>
          <w:rFonts w:ascii="Arial" w:hAnsi="Arial" w:cs="Arial"/>
          <w:bCs/>
        </w:rPr>
        <w:t xml:space="preserve">Gasto turístico </w:t>
      </w:r>
      <w:r w:rsidR="00CC427F" w:rsidRPr="00B30385">
        <w:rPr>
          <w:rFonts w:ascii="Arial" w:hAnsi="Arial" w:cs="Arial"/>
          <w:bCs/>
        </w:rPr>
        <w:t xml:space="preserve">en </w:t>
      </w:r>
      <w:r w:rsidRPr="00B30385">
        <w:rPr>
          <w:rFonts w:ascii="Arial" w:hAnsi="Arial" w:cs="Arial"/>
          <w:bCs/>
        </w:rPr>
        <w:t>2019.</w:t>
      </w:r>
    </w:p>
    <w:p w14:paraId="361D5025" w14:textId="77777777" w:rsidR="00B60F7C" w:rsidRPr="00B30385" w:rsidRDefault="00B60F7C" w:rsidP="00F209AA">
      <w:pPr>
        <w:tabs>
          <w:tab w:val="left" w:pos="426"/>
        </w:tabs>
        <w:spacing w:line="276" w:lineRule="auto"/>
        <w:ind w:left="426" w:right="-427"/>
        <w:jc w:val="both"/>
        <w:rPr>
          <w:rFonts w:ascii="Arial" w:eastAsiaTheme="minorHAnsi" w:hAnsi="Arial" w:cs="Arial"/>
          <w:bCs/>
          <w:sz w:val="22"/>
          <w:szCs w:val="22"/>
          <w:lang w:val="es-ES" w:eastAsia="en-US"/>
        </w:rPr>
      </w:pPr>
    </w:p>
    <w:p w14:paraId="1D987715" w14:textId="77777777" w:rsidR="00B60F7C" w:rsidRPr="00B30385" w:rsidRDefault="00B60F7C" w:rsidP="00F209AA">
      <w:pPr>
        <w:tabs>
          <w:tab w:val="left" w:pos="426"/>
        </w:tabs>
        <w:spacing w:line="276" w:lineRule="auto"/>
        <w:ind w:right="-427"/>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La propuesta de reparto se basa en un modelo ordinal de intensidades, confeccionado de la siguiente forma:</w:t>
      </w:r>
    </w:p>
    <w:p w14:paraId="7D1D19B9" w14:textId="077B08FF" w:rsidR="00B60F7C" w:rsidRPr="00B30385" w:rsidRDefault="00B60F7C" w:rsidP="00F209AA">
      <w:pPr>
        <w:tabs>
          <w:tab w:val="left" w:pos="426"/>
        </w:tabs>
        <w:spacing w:line="276" w:lineRule="auto"/>
        <w:ind w:right="-427"/>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w:t>
      </w:r>
      <w:r w:rsidRPr="00B30385">
        <w:rPr>
          <w:rFonts w:ascii="Arial" w:eastAsiaTheme="minorHAnsi" w:hAnsi="Arial" w:cs="Arial"/>
          <w:bCs/>
          <w:sz w:val="22"/>
          <w:szCs w:val="22"/>
          <w:lang w:val="es-ES" w:eastAsia="en-US"/>
        </w:rPr>
        <w:tab/>
        <w:t xml:space="preserve">Se ordenan todas las </w:t>
      </w:r>
      <w:r w:rsidR="00CC427F" w:rsidRPr="00B30385">
        <w:rPr>
          <w:rFonts w:ascii="Arial" w:eastAsiaTheme="minorHAnsi" w:hAnsi="Arial" w:cs="Arial"/>
          <w:bCs/>
          <w:sz w:val="22"/>
          <w:szCs w:val="22"/>
          <w:lang w:val="es-ES" w:eastAsia="en-US"/>
        </w:rPr>
        <w:t xml:space="preserve">comunidades autónomas </w:t>
      </w:r>
      <w:r w:rsidRPr="00B30385">
        <w:rPr>
          <w:rFonts w:ascii="Arial" w:eastAsiaTheme="minorHAnsi" w:hAnsi="Arial" w:cs="Arial"/>
          <w:bCs/>
          <w:sz w:val="22"/>
          <w:szCs w:val="22"/>
          <w:lang w:val="es-ES" w:eastAsia="en-US"/>
        </w:rPr>
        <w:t>en función de las distintas variables.</w:t>
      </w:r>
    </w:p>
    <w:p w14:paraId="6070B7C8" w14:textId="2D8AB2BC" w:rsidR="00B60F7C" w:rsidRPr="00B30385" w:rsidRDefault="00B60F7C" w:rsidP="00F209AA">
      <w:pPr>
        <w:tabs>
          <w:tab w:val="left" w:pos="426"/>
        </w:tabs>
        <w:spacing w:line="276" w:lineRule="auto"/>
        <w:ind w:left="420" w:right="-427" w:hanging="420"/>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w:t>
      </w:r>
      <w:r w:rsidRPr="00B30385">
        <w:rPr>
          <w:rFonts w:ascii="Arial" w:eastAsiaTheme="minorHAnsi" w:hAnsi="Arial" w:cs="Arial"/>
          <w:bCs/>
          <w:sz w:val="22"/>
          <w:szCs w:val="22"/>
          <w:lang w:val="es-ES" w:eastAsia="en-US"/>
        </w:rPr>
        <w:tab/>
        <w:t xml:space="preserve">Para cada una de las variables, se asigna una puntuación a cada </w:t>
      </w:r>
      <w:r w:rsidR="00636AA3" w:rsidRPr="00B30385">
        <w:rPr>
          <w:rFonts w:ascii="Arial" w:eastAsiaTheme="minorHAnsi" w:hAnsi="Arial" w:cs="Arial"/>
          <w:bCs/>
          <w:sz w:val="22"/>
          <w:szCs w:val="22"/>
          <w:lang w:val="es-ES" w:eastAsia="en-US"/>
        </w:rPr>
        <w:t xml:space="preserve">comunidad autónoma </w:t>
      </w:r>
      <w:r w:rsidRPr="00B30385">
        <w:rPr>
          <w:rFonts w:ascii="Arial" w:eastAsiaTheme="minorHAnsi" w:hAnsi="Arial" w:cs="Arial"/>
          <w:bCs/>
          <w:sz w:val="22"/>
          <w:szCs w:val="22"/>
          <w:lang w:val="es-ES" w:eastAsia="en-US"/>
        </w:rPr>
        <w:t xml:space="preserve">en función de la intensidad de los datos, asignando 0 a </w:t>
      </w:r>
      <w:r w:rsidR="00636AA3" w:rsidRPr="00B30385">
        <w:rPr>
          <w:rFonts w:ascii="Arial" w:eastAsiaTheme="minorHAnsi" w:hAnsi="Arial" w:cs="Arial"/>
          <w:bCs/>
          <w:sz w:val="22"/>
          <w:szCs w:val="22"/>
          <w:lang w:val="es-ES" w:eastAsia="en-US"/>
        </w:rPr>
        <w:t xml:space="preserve">aquélla </w:t>
      </w:r>
      <w:r w:rsidRPr="00B30385">
        <w:rPr>
          <w:rFonts w:ascii="Arial" w:eastAsiaTheme="minorHAnsi" w:hAnsi="Arial" w:cs="Arial"/>
          <w:bCs/>
          <w:sz w:val="22"/>
          <w:szCs w:val="22"/>
          <w:lang w:val="es-ES" w:eastAsia="en-US"/>
        </w:rPr>
        <w:t>con el valor de la variable más bajo y 100 a</w:t>
      </w:r>
      <w:r w:rsidR="00636AA3" w:rsidRPr="00B30385">
        <w:rPr>
          <w:rFonts w:ascii="Arial" w:eastAsiaTheme="minorHAnsi" w:hAnsi="Arial" w:cs="Arial"/>
          <w:bCs/>
          <w:sz w:val="22"/>
          <w:szCs w:val="22"/>
          <w:lang w:val="es-ES" w:eastAsia="en-US"/>
        </w:rPr>
        <w:t xml:space="preserve"> aquélla</w:t>
      </w:r>
      <w:r w:rsidRPr="00B30385">
        <w:rPr>
          <w:rFonts w:ascii="Arial" w:eastAsiaTheme="minorHAnsi" w:hAnsi="Arial" w:cs="Arial"/>
          <w:bCs/>
          <w:sz w:val="22"/>
          <w:szCs w:val="22"/>
          <w:lang w:val="es-ES" w:eastAsia="en-US"/>
        </w:rPr>
        <w:t xml:space="preserve"> con el valor de la variable más alto.</w:t>
      </w:r>
    </w:p>
    <w:p w14:paraId="5F474AF2" w14:textId="470A08DB" w:rsidR="00B60F7C" w:rsidRPr="00B30385" w:rsidRDefault="00B60F7C" w:rsidP="00F209AA">
      <w:pPr>
        <w:tabs>
          <w:tab w:val="left" w:pos="426"/>
        </w:tabs>
        <w:spacing w:line="276" w:lineRule="auto"/>
        <w:ind w:left="420" w:right="-427" w:hanging="420"/>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w:t>
      </w:r>
      <w:r w:rsidRPr="00B30385">
        <w:rPr>
          <w:rFonts w:ascii="Arial" w:eastAsiaTheme="minorHAnsi" w:hAnsi="Arial" w:cs="Arial"/>
          <w:bCs/>
          <w:sz w:val="22"/>
          <w:szCs w:val="22"/>
          <w:lang w:val="es-ES" w:eastAsia="en-US"/>
        </w:rPr>
        <w:tab/>
        <w:t xml:space="preserve">La puntuación de las </w:t>
      </w:r>
      <w:r w:rsidR="00636AA3" w:rsidRPr="00B30385">
        <w:rPr>
          <w:rFonts w:ascii="Arial" w:eastAsiaTheme="minorHAnsi" w:hAnsi="Arial" w:cs="Arial"/>
          <w:bCs/>
          <w:sz w:val="22"/>
          <w:szCs w:val="22"/>
          <w:lang w:val="es-ES" w:eastAsia="en-US"/>
        </w:rPr>
        <w:t xml:space="preserve">comunidades autónomas </w:t>
      </w:r>
      <w:r w:rsidRPr="00B30385">
        <w:rPr>
          <w:rFonts w:ascii="Arial" w:eastAsiaTheme="minorHAnsi" w:hAnsi="Arial" w:cs="Arial"/>
          <w:bCs/>
          <w:sz w:val="22"/>
          <w:szCs w:val="22"/>
          <w:lang w:val="es-ES" w:eastAsia="en-US"/>
        </w:rPr>
        <w:t xml:space="preserve">en cada variable recoge cuán cerca están de la </w:t>
      </w:r>
      <w:r w:rsidR="00636AA3" w:rsidRPr="00B30385">
        <w:rPr>
          <w:rFonts w:ascii="Arial" w:eastAsiaTheme="minorHAnsi" w:hAnsi="Arial" w:cs="Arial"/>
          <w:bCs/>
          <w:sz w:val="22"/>
          <w:szCs w:val="22"/>
          <w:lang w:val="es-ES" w:eastAsia="en-US"/>
        </w:rPr>
        <w:t xml:space="preserve">comunidad autónoma </w:t>
      </w:r>
      <w:r w:rsidRPr="00B30385">
        <w:rPr>
          <w:rFonts w:ascii="Arial" w:eastAsiaTheme="minorHAnsi" w:hAnsi="Arial" w:cs="Arial"/>
          <w:bCs/>
          <w:sz w:val="22"/>
          <w:szCs w:val="22"/>
          <w:lang w:val="es-ES" w:eastAsia="en-US"/>
        </w:rPr>
        <w:t xml:space="preserve">con la puntuación mínima (que obtendrá un 0%) o de la </w:t>
      </w:r>
      <w:r w:rsidR="00157C8B" w:rsidRPr="00B30385">
        <w:rPr>
          <w:rFonts w:ascii="Arial" w:eastAsiaTheme="minorHAnsi" w:hAnsi="Arial" w:cs="Arial"/>
          <w:bCs/>
          <w:sz w:val="22"/>
          <w:szCs w:val="22"/>
          <w:lang w:val="es-ES" w:eastAsia="en-US"/>
        </w:rPr>
        <w:t>comunidad autónoma</w:t>
      </w:r>
      <w:r w:rsidRPr="00B30385">
        <w:rPr>
          <w:rFonts w:ascii="Arial" w:eastAsiaTheme="minorHAnsi" w:hAnsi="Arial" w:cs="Arial"/>
          <w:bCs/>
          <w:sz w:val="22"/>
          <w:szCs w:val="22"/>
          <w:lang w:val="es-ES" w:eastAsia="en-US"/>
        </w:rPr>
        <w:t xml:space="preserve"> con la puntuación máxima (que obtendrá un 100%).</w:t>
      </w:r>
    </w:p>
    <w:p w14:paraId="4D131735" w14:textId="190774A3" w:rsidR="00B60F7C" w:rsidRPr="00B30385" w:rsidRDefault="00B60F7C" w:rsidP="00F209AA">
      <w:pPr>
        <w:tabs>
          <w:tab w:val="left" w:pos="426"/>
        </w:tabs>
        <w:spacing w:line="276" w:lineRule="auto"/>
        <w:ind w:left="420" w:right="-427" w:hanging="420"/>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w:t>
      </w:r>
      <w:r w:rsidRPr="00B30385">
        <w:rPr>
          <w:rFonts w:ascii="Arial" w:eastAsiaTheme="minorHAnsi" w:hAnsi="Arial" w:cs="Arial"/>
          <w:bCs/>
          <w:sz w:val="22"/>
          <w:szCs w:val="22"/>
          <w:lang w:val="es-ES" w:eastAsia="en-US"/>
        </w:rPr>
        <w:tab/>
        <w:t xml:space="preserve">Para cada </w:t>
      </w:r>
      <w:r w:rsidR="00157C8B" w:rsidRPr="00B30385">
        <w:rPr>
          <w:rFonts w:ascii="Arial" w:eastAsiaTheme="minorHAnsi" w:hAnsi="Arial" w:cs="Arial"/>
          <w:bCs/>
          <w:sz w:val="22"/>
          <w:szCs w:val="22"/>
          <w:lang w:val="es-ES" w:eastAsia="en-US"/>
        </w:rPr>
        <w:t>comunidad autónoma</w:t>
      </w:r>
      <w:r w:rsidRPr="00B30385">
        <w:rPr>
          <w:rFonts w:ascii="Arial" w:eastAsiaTheme="minorHAnsi" w:hAnsi="Arial" w:cs="Arial"/>
          <w:bCs/>
          <w:sz w:val="22"/>
          <w:szCs w:val="22"/>
          <w:lang w:val="es-ES" w:eastAsia="en-US"/>
        </w:rPr>
        <w:t xml:space="preserve">, se suma la puntuación de todas las variables. La suma no puede exceder de 600, que es la puntuación total máxima, es decir, la puntuación que obtendría aquella </w:t>
      </w:r>
      <w:r w:rsidR="00157C8B" w:rsidRPr="00B30385">
        <w:rPr>
          <w:rFonts w:ascii="Arial" w:eastAsiaTheme="minorHAnsi" w:hAnsi="Arial" w:cs="Arial"/>
          <w:bCs/>
          <w:sz w:val="22"/>
          <w:szCs w:val="22"/>
          <w:lang w:val="es-ES" w:eastAsia="en-US"/>
        </w:rPr>
        <w:t xml:space="preserve">comunidad autónoma </w:t>
      </w:r>
      <w:r w:rsidRPr="00B30385">
        <w:rPr>
          <w:rFonts w:ascii="Arial" w:eastAsiaTheme="minorHAnsi" w:hAnsi="Arial" w:cs="Arial"/>
          <w:bCs/>
          <w:sz w:val="22"/>
          <w:szCs w:val="22"/>
          <w:lang w:val="es-ES" w:eastAsia="en-US"/>
        </w:rPr>
        <w:t>que puntuara 100 puntos en las 6 variables.</w:t>
      </w:r>
    </w:p>
    <w:p w14:paraId="706E184E" w14:textId="440B059D" w:rsidR="00B60F7C" w:rsidRPr="00B30385" w:rsidRDefault="00B60F7C" w:rsidP="00F209AA">
      <w:pPr>
        <w:tabs>
          <w:tab w:val="left" w:pos="426"/>
        </w:tabs>
        <w:spacing w:line="276" w:lineRule="auto"/>
        <w:ind w:left="420" w:right="-427" w:hanging="420"/>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w:t>
      </w:r>
      <w:r w:rsidRPr="00B30385">
        <w:rPr>
          <w:rFonts w:ascii="Arial" w:eastAsiaTheme="minorHAnsi" w:hAnsi="Arial" w:cs="Arial"/>
          <w:bCs/>
          <w:sz w:val="22"/>
          <w:szCs w:val="22"/>
          <w:lang w:val="es-ES" w:eastAsia="en-US"/>
        </w:rPr>
        <w:tab/>
        <w:t>Con el objetivo de equilibrar el reparto de la asignación máxima de los fondos de acuerdo a los principios de sostenibilidad medioambiental, socioeconómica y territorial, tras la primera ordenación</w:t>
      </w:r>
      <w:r w:rsidR="00157C8B" w:rsidRPr="00B30385">
        <w:rPr>
          <w:rFonts w:ascii="Arial" w:eastAsiaTheme="minorHAnsi" w:hAnsi="Arial" w:cs="Arial"/>
          <w:bCs/>
          <w:sz w:val="22"/>
          <w:szCs w:val="22"/>
          <w:lang w:val="es-ES" w:eastAsia="en-US"/>
        </w:rPr>
        <w:t>,</w:t>
      </w:r>
      <w:r w:rsidRPr="00B30385">
        <w:rPr>
          <w:rFonts w:ascii="Arial" w:eastAsiaTheme="minorHAnsi" w:hAnsi="Arial" w:cs="Arial"/>
          <w:bCs/>
          <w:sz w:val="22"/>
          <w:szCs w:val="22"/>
          <w:lang w:val="es-ES" w:eastAsia="en-US"/>
        </w:rPr>
        <w:t xml:space="preserve"> se introducen mecanismos de ajuste sobre las puntuaciones obtenidas por las </w:t>
      </w:r>
      <w:r w:rsidR="00157C8B" w:rsidRPr="00B30385">
        <w:rPr>
          <w:rFonts w:ascii="Arial" w:eastAsiaTheme="minorHAnsi" w:hAnsi="Arial" w:cs="Arial"/>
          <w:bCs/>
          <w:sz w:val="22"/>
          <w:szCs w:val="22"/>
          <w:lang w:val="es-ES" w:eastAsia="en-US"/>
        </w:rPr>
        <w:t>comunidades autónomas</w:t>
      </w:r>
      <w:r w:rsidRPr="00B30385">
        <w:rPr>
          <w:rFonts w:ascii="Arial" w:eastAsiaTheme="minorHAnsi" w:hAnsi="Arial" w:cs="Arial"/>
          <w:bCs/>
          <w:sz w:val="22"/>
          <w:szCs w:val="22"/>
          <w:lang w:val="es-ES" w:eastAsia="en-US"/>
        </w:rPr>
        <w:t>. Estos mecanismos de ajuste constituyen el 3,8% de los fondos de la Inversión y tienen por objeto incorporar elementos de equidad en la distribución de las asignaciones máximas, equilibrando el reparto en coherencia con los objetivos del Plan de Recuperación, Transformación y Resiliencia. Los mecanismos de ajuste son de dos tipos:</w:t>
      </w:r>
    </w:p>
    <w:p w14:paraId="4AA75030" w14:textId="41AD4A9E" w:rsidR="00B60F7C" w:rsidRPr="00B30385" w:rsidRDefault="0015470D" w:rsidP="00F209AA">
      <w:pPr>
        <w:tabs>
          <w:tab w:val="left" w:pos="426"/>
        </w:tabs>
        <w:spacing w:line="276" w:lineRule="auto"/>
        <w:ind w:left="420" w:right="-427" w:hanging="420"/>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ab/>
      </w:r>
      <w:r w:rsidRPr="00B30385">
        <w:rPr>
          <w:rFonts w:ascii="Arial" w:eastAsiaTheme="minorHAnsi" w:hAnsi="Arial" w:cs="Arial"/>
          <w:bCs/>
          <w:sz w:val="22"/>
          <w:szCs w:val="22"/>
          <w:lang w:val="es-ES" w:eastAsia="en-US"/>
        </w:rPr>
        <w:tab/>
      </w:r>
      <w:r w:rsidR="00B60F7C" w:rsidRPr="00B30385">
        <w:rPr>
          <w:rFonts w:ascii="Arial" w:eastAsiaTheme="minorHAnsi" w:hAnsi="Arial" w:cs="Arial"/>
          <w:bCs/>
          <w:sz w:val="22"/>
          <w:szCs w:val="22"/>
          <w:lang w:val="es-ES" w:eastAsia="en-US"/>
        </w:rPr>
        <w:t>•</w:t>
      </w:r>
      <w:r w:rsidR="00B60F7C" w:rsidRPr="00B30385">
        <w:rPr>
          <w:rFonts w:ascii="Arial" w:eastAsiaTheme="minorHAnsi" w:hAnsi="Arial" w:cs="Arial"/>
          <w:bCs/>
          <w:sz w:val="22"/>
          <w:szCs w:val="22"/>
          <w:lang w:val="es-ES" w:eastAsia="en-US"/>
        </w:rPr>
        <w:tab/>
        <w:t xml:space="preserve">Mecanismo de ajuste A.1. Dirigido a las </w:t>
      </w:r>
      <w:r w:rsidR="00157C8B" w:rsidRPr="00B30385">
        <w:rPr>
          <w:rFonts w:ascii="Arial" w:eastAsiaTheme="minorHAnsi" w:hAnsi="Arial" w:cs="Arial"/>
          <w:bCs/>
          <w:sz w:val="22"/>
          <w:szCs w:val="22"/>
          <w:lang w:val="es-ES" w:eastAsia="en-US"/>
        </w:rPr>
        <w:t xml:space="preserve">comunidades autónomas </w:t>
      </w:r>
      <w:r w:rsidR="00B60F7C" w:rsidRPr="00B30385">
        <w:rPr>
          <w:rFonts w:ascii="Arial" w:eastAsiaTheme="minorHAnsi" w:hAnsi="Arial" w:cs="Arial"/>
          <w:bCs/>
          <w:sz w:val="22"/>
          <w:szCs w:val="22"/>
          <w:lang w:val="es-ES" w:eastAsia="en-US"/>
        </w:rPr>
        <w:t xml:space="preserve">con puntuaciones por debajo de 165 puntos, distribuyéndose el 55% de este reparto entre las </w:t>
      </w:r>
      <w:r w:rsidR="00157C8B" w:rsidRPr="00B30385">
        <w:rPr>
          <w:rFonts w:ascii="Arial" w:eastAsiaTheme="minorHAnsi" w:hAnsi="Arial" w:cs="Arial"/>
          <w:bCs/>
          <w:sz w:val="22"/>
          <w:szCs w:val="22"/>
          <w:lang w:val="es-ES" w:eastAsia="en-US"/>
        </w:rPr>
        <w:t xml:space="preserve">comunidades autónomas </w:t>
      </w:r>
      <w:r w:rsidR="00B60F7C" w:rsidRPr="00B30385">
        <w:rPr>
          <w:rFonts w:ascii="Arial" w:eastAsiaTheme="minorHAnsi" w:hAnsi="Arial" w:cs="Arial"/>
          <w:bCs/>
          <w:sz w:val="22"/>
          <w:szCs w:val="22"/>
          <w:lang w:val="es-ES" w:eastAsia="en-US"/>
        </w:rPr>
        <w:t>con menos puntuación y en función de población.</w:t>
      </w:r>
    </w:p>
    <w:p w14:paraId="0FBC11FD" w14:textId="6B748DB2" w:rsidR="00B60F7C" w:rsidRPr="00B30385" w:rsidRDefault="0015470D" w:rsidP="00F209AA">
      <w:pPr>
        <w:tabs>
          <w:tab w:val="left" w:pos="426"/>
        </w:tabs>
        <w:spacing w:line="276" w:lineRule="auto"/>
        <w:ind w:left="420" w:right="-427" w:hanging="420"/>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ab/>
      </w:r>
      <w:r w:rsidR="00B60F7C" w:rsidRPr="00B30385">
        <w:rPr>
          <w:rFonts w:ascii="Arial" w:eastAsiaTheme="minorHAnsi" w:hAnsi="Arial" w:cs="Arial"/>
          <w:bCs/>
          <w:sz w:val="22"/>
          <w:szCs w:val="22"/>
          <w:lang w:val="es-ES" w:eastAsia="en-US"/>
        </w:rPr>
        <w:t>•</w:t>
      </w:r>
      <w:r w:rsidR="00B60F7C" w:rsidRPr="00B30385">
        <w:rPr>
          <w:rFonts w:ascii="Arial" w:eastAsiaTheme="minorHAnsi" w:hAnsi="Arial" w:cs="Arial"/>
          <w:bCs/>
          <w:sz w:val="22"/>
          <w:szCs w:val="22"/>
          <w:lang w:val="es-ES" w:eastAsia="en-US"/>
        </w:rPr>
        <w:tab/>
        <w:t xml:space="preserve">Mecanismo de ajuste A.2. Dirigido a aquellas </w:t>
      </w:r>
      <w:r w:rsidR="00157C8B" w:rsidRPr="00B30385">
        <w:rPr>
          <w:rFonts w:ascii="Arial" w:eastAsiaTheme="minorHAnsi" w:hAnsi="Arial" w:cs="Arial"/>
          <w:bCs/>
          <w:sz w:val="22"/>
          <w:szCs w:val="22"/>
          <w:lang w:val="es-ES" w:eastAsia="en-US"/>
        </w:rPr>
        <w:t>comunidades autónomas</w:t>
      </w:r>
      <w:r w:rsidR="00D11CD8">
        <w:rPr>
          <w:rFonts w:ascii="Arial" w:eastAsiaTheme="minorHAnsi" w:hAnsi="Arial" w:cs="Arial"/>
          <w:bCs/>
          <w:sz w:val="22"/>
          <w:szCs w:val="22"/>
          <w:lang w:val="es-ES" w:eastAsia="en-US"/>
        </w:rPr>
        <w:t xml:space="preserve"> </w:t>
      </w:r>
      <w:r w:rsidR="00B60F7C" w:rsidRPr="00B30385">
        <w:rPr>
          <w:rFonts w:ascii="Arial" w:eastAsiaTheme="minorHAnsi" w:hAnsi="Arial" w:cs="Arial"/>
          <w:bCs/>
          <w:sz w:val="22"/>
          <w:szCs w:val="22"/>
          <w:lang w:val="es-ES" w:eastAsia="en-US"/>
        </w:rPr>
        <w:t xml:space="preserve">cuyo  </w:t>
      </w:r>
      <w:r w:rsidR="00235105" w:rsidRPr="00B30385">
        <w:rPr>
          <w:rFonts w:ascii="Arial" w:eastAsiaTheme="minorHAnsi" w:hAnsi="Arial" w:cs="Arial"/>
          <w:bCs/>
          <w:sz w:val="22"/>
          <w:szCs w:val="22"/>
          <w:lang w:val="es-ES" w:eastAsia="en-US"/>
        </w:rPr>
        <w:t>porcentaje</w:t>
      </w:r>
      <w:r w:rsidR="00157C8B" w:rsidRPr="00B30385">
        <w:rPr>
          <w:rFonts w:ascii="Arial" w:eastAsiaTheme="minorHAnsi" w:hAnsi="Arial" w:cs="Arial"/>
          <w:bCs/>
          <w:sz w:val="22"/>
          <w:szCs w:val="22"/>
          <w:lang w:val="es-ES" w:eastAsia="en-US"/>
        </w:rPr>
        <w:t xml:space="preserve"> </w:t>
      </w:r>
      <w:r w:rsidR="00B60F7C" w:rsidRPr="00B30385">
        <w:rPr>
          <w:rFonts w:ascii="Arial" w:eastAsiaTheme="minorHAnsi" w:hAnsi="Arial" w:cs="Arial"/>
          <w:bCs/>
          <w:sz w:val="22"/>
          <w:szCs w:val="22"/>
          <w:lang w:val="es-ES" w:eastAsia="en-US"/>
        </w:rPr>
        <w:t>de reparto de fondos es inferior a su participación en el PIB turístico estatal, con cargo al 45% de este segundo reparto en función de la variable FAMILITUR.</w:t>
      </w:r>
    </w:p>
    <w:p w14:paraId="1A969964" w14:textId="77777777" w:rsidR="0015470D" w:rsidRPr="00B30385" w:rsidRDefault="0015470D" w:rsidP="00F209AA">
      <w:pPr>
        <w:tabs>
          <w:tab w:val="left" w:pos="426"/>
        </w:tabs>
        <w:spacing w:line="276" w:lineRule="auto"/>
        <w:ind w:right="-427"/>
        <w:jc w:val="both"/>
        <w:rPr>
          <w:rFonts w:ascii="Arial" w:eastAsiaTheme="minorHAnsi" w:hAnsi="Arial" w:cs="Arial"/>
          <w:bCs/>
          <w:sz w:val="22"/>
          <w:szCs w:val="22"/>
          <w:lang w:val="es-ES" w:eastAsia="en-US"/>
        </w:rPr>
      </w:pPr>
    </w:p>
    <w:p w14:paraId="44F4B9E6" w14:textId="31D4C18D" w:rsidR="00235105" w:rsidRPr="00B30385" w:rsidRDefault="00235105" w:rsidP="00F209AA">
      <w:pPr>
        <w:tabs>
          <w:tab w:val="left" w:pos="426"/>
        </w:tabs>
        <w:spacing w:line="276" w:lineRule="auto"/>
        <w:ind w:right="-427"/>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Los criterios de distribución</w:t>
      </w:r>
      <w:r w:rsidR="00F3042F" w:rsidRPr="00B30385">
        <w:rPr>
          <w:rFonts w:ascii="Arial" w:eastAsiaTheme="minorHAnsi" w:hAnsi="Arial" w:cs="Arial"/>
          <w:bCs/>
          <w:sz w:val="22"/>
          <w:szCs w:val="22"/>
          <w:lang w:val="es-ES" w:eastAsia="en-US"/>
        </w:rPr>
        <w:t xml:space="preserve"> referidos</w:t>
      </w:r>
      <w:r w:rsidRPr="00B30385">
        <w:rPr>
          <w:rFonts w:ascii="Arial" w:eastAsiaTheme="minorHAnsi" w:hAnsi="Arial" w:cs="Arial"/>
          <w:bCs/>
          <w:sz w:val="22"/>
          <w:szCs w:val="22"/>
          <w:lang w:val="es-ES" w:eastAsia="en-US"/>
        </w:rPr>
        <w:t xml:space="preserve">, incluidos en la Estrategia de Sostenibilidad Turística en Destino, fueron sometidos a votación de las comunidades autónomas y aprobados por unanimidad en la Conferencia Sectorial celebrada el </w:t>
      </w:r>
      <w:r w:rsidR="00504E9D">
        <w:rPr>
          <w:rFonts w:ascii="Arial" w:eastAsiaTheme="minorHAnsi" w:hAnsi="Arial" w:cs="Arial"/>
          <w:bCs/>
          <w:sz w:val="22"/>
          <w:szCs w:val="22"/>
          <w:lang w:val="es-ES" w:eastAsia="en-US"/>
        </w:rPr>
        <w:t>28</w:t>
      </w:r>
      <w:r w:rsidRPr="00B30385">
        <w:rPr>
          <w:rFonts w:ascii="Arial" w:eastAsiaTheme="minorHAnsi" w:hAnsi="Arial" w:cs="Arial"/>
          <w:bCs/>
          <w:sz w:val="22"/>
          <w:szCs w:val="22"/>
          <w:lang w:val="es-ES" w:eastAsia="en-US"/>
        </w:rPr>
        <w:t xml:space="preserve"> de julio de 2021.</w:t>
      </w:r>
      <w:r w:rsidR="00980F4D">
        <w:rPr>
          <w:rFonts w:ascii="Arial" w:eastAsiaTheme="minorHAnsi" w:hAnsi="Arial" w:cs="Arial"/>
          <w:bCs/>
          <w:sz w:val="22"/>
          <w:szCs w:val="22"/>
          <w:lang w:val="es-ES" w:eastAsia="en-US"/>
        </w:rPr>
        <w:t xml:space="preserve"> </w:t>
      </w:r>
      <w:r w:rsidR="00980F4D" w:rsidRPr="00980F4D">
        <w:rPr>
          <w:rFonts w:ascii="Arial" w:eastAsiaTheme="minorHAnsi" w:hAnsi="Arial" w:cs="Arial"/>
          <w:bCs/>
          <w:sz w:val="22"/>
          <w:szCs w:val="22"/>
          <w:lang w:val="es-ES" w:eastAsia="en-US"/>
        </w:rPr>
        <w:t xml:space="preserve">En función de las puntuaciones y de su proporción sobre el total, se determina la asignación máxima de recursos para el año </w:t>
      </w:r>
      <w:r w:rsidR="00D3760C" w:rsidRPr="00980F4D">
        <w:rPr>
          <w:rFonts w:ascii="Arial" w:eastAsiaTheme="minorHAnsi" w:hAnsi="Arial" w:cs="Arial"/>
          <w:bCs/>
          <w:sz w:val="22"/>
          <w:szCs w:val="22"/>
          <w:lang w:val="es-ES" w:eastAsia="en-US"/>
        </w:rPr>
        <w:t>202</w:t>
      </w:r>
      <w:r w:rsidR="00D3760C">
        <w:rPr>
          <w:rFonts w:ascii="Arial" w:eastAsiaTheme="minorHAnsi" w:hAnsi="Arial" w:cs="Arial"/>
          <w:bCs/>
          <w:sz w:val="22"/>
          <w:szCs w:val="22"/>
          <w:lang w:val="es-ES" w:eastAsia="en-US"/>
        </w:rPr>
        <w:t>3</w:t>
      </w:r>
      <w:r w:rsidR="00980F4D" w:rsidRPr="00980F4D">
        <w:rPr>
          <w:rFonts w:ascii="Arial" w:eastAsiaTheme="minorHAnsi" w:hAnsi="Arial" w:cs="Arial"/>
          <w:bCs/>
          <w:sz w:val="22"/>
          <w:szCs w:val="22"/>
          <w:lang w:val="es-ES" w:eastAsia="en-US"/>
        </w:rPr>
        <w:t>.</w:t>
      </w:r>
    </w:p>
    <w:p w14:paraId="7A700A08" w14:textId="0C8B8335" w:rsidR="0015470D" w:rsidRDefault="0015470D" w:rsidP="00F209AA">
      <w:pPr>
        <w:tabs>
          <w:tab w:val="left" w:pos="426"/>
        </w:tabs>
        <w:spacing w:line="276" w:lineRule="auto"/>
        <w:ind w:right="-427"/>
        <w:jc w:val="both"/>
        <w:rPr>
          <w:rFonts w:ascii="Arial" w:eastAsiaTheme="minorHAnsi" w:hAnsi="Arial" w:cs="Arial"/>
          <w:bCs/>
          <w:sz w:val="22"/>
          <w:szCs w:val="22"/>
          <w:lang w:val="es-ES" w:eastAsia="en-US"/>
        </w:rPr>
      </w:pPr>
    </w:p>
    <w:p w14:paraId="5F3539DB" w14:textId="2CF35B82" w:rsidR="00F35EF6" w:rsidRDefault="00F35EF6" w:rsidP="00F209AA">
      <w:pPr>
        <w:tabs>
          <w:tab w:val="left" w:pos="426"/>
        </w:tabs>
        <w:spacing w:line="276" w:lineRule="auto"/>
        <w:ind w:right="-427"/>
        <w:jc w:val="both"/>
        <w:rPr>
          <w:rFonts w:ascii="Arial" w:eastAsiaTheme="minorHAnsi" w:hAnsi="Arial" w:cs="Arial"/>
          <w:bCs/>
          <w:sz w:val="22"/>
          <w:szCs w:val="22"/>
          <w:lang w:val="es-ES" w:eastAsia="en-US"/>
        </w:rPr>
      </w:pPr>
      <w:r w:rsidRPr="00E1709F">
        <w:rPr>
          <w:rFonts w:ascii="Arial" w:eastAsiaTheme="minorHAnsi" w:hAnsi="Arial" w:cs="Arial"/>
          <w:bCs/>
          <w:sz w:val="22"/>
          <w:szCs w:val="22"/>
          <w:lang w:val="es-ES" w:eastAsia="en-US"/>
        </w:rPr>
        <w:t xml:space="preserve">En el caso del Plan Nacional de Turismo </w:t>
      </w:r>
      <w:r w:rsidR="00B411FB">
        <w:rPr>
          <w:rFonts w:ascii="Arial" w:eastAsiaTheme="minorHAnsi" w:hAnsi="Arial" w:cs="Arial"/>
          <w:bCs/>
          <w:sz w:val="22"/>
          <w:szCs w:val="22"/>
          <w:lang w:val="es-ES" w:eastAsia="en-US"/>
        </w:rPr>
        <w:t>Sol y Playa/Turismo Azul 2023</w:t>
      </w:r>
      <w:r w:rsidRPr="00E1709F">
        <w:rPr>
          <w:rFonts w:ascii="Arial" w:eastAsiaTheme="minorHAnsi" w:hAnsi="Arial" w:cs="Arial"/>
          <w:bCs/>
          <w:sz w:val="22"/>
          <w:szCs w:val="22"/>
          <w:lang w:val="es-ES" w:eastAsia="en-US"/>
        </w:rPr>
        <w:t xml:space="preserve">, la distribución de los fondos se ha realizado en base a un indicador sintético que ha ponderado, en primer lugar, la puntuación del plan respetando los umbrales mínimos de inversión establecidos en la Estrategia de Sostenibilidad (ver apartado 8.2.1) y, en segundo lugar, el peso que la CCAA tenía en la distribución del Plan Nacional </w:t>
      </w:r>
      <w:r w:rsidR="00504E9D">
        <w:rPr>
          <w:rFonts w:ascii="Arial" w:eastAsiaTheme="minorHAnsi" w:hAnsi="Arial" w:cs="Arial"/>
          <w:bCs/>
          <w:sz w:val="22"/>
          <w:szCs w:val="22"/>
          <w:lang w:val="es-ES" w:eastAsia="en-US"/>
        </w:rPr>
        <w:t xml:space="preserve">2021 y </w:t>
      </w:r>
      <w:r w:rsidR="00B411FB" w:rsidRPr="00E1709F">
        <w:rPr>
          <w:rFonts w:ascii="Arial" w:eastAsiaTheme="minorHAnsi" w:hAnsi="Arial" w:cs="Arial"/>
          <w:bCs/>
          <w:sz w:val="22"/>
          <w:szCs w:val="22"/>
          <w:lang w:val="es-ES" w:eastAsia="en-US"/>
        </w:rPr>
        <w:t>202</w:t>
      </w:r>
      <w:r w:rsidR="00B411FB">
        <w:rPr>
          <w:rFonts w:ascii="Arial" w:eastAsiaTheme="minorHAnsi" w:hAnsi="Arial" w:cs="Arial"/>
          <w:bCs/>
          <w:sz w:val="22"/>
          <w:szCs w:val="22"/>
          <w:lang w:val="es-ES" w:eastAsia="en-US"/>
        </w:rPr>
        <w:t>2</w:t>
      </w:r>
      <w:r w:rsidR="00B411FB" w:rsidRPr="00E1709F">
        <w:rPr>
          <w:rFonts w:ascii="Arial" w:eastAsiaTheme="minorHAnsi" w:hAnsi="Arial" w:cs="Arial"/>
          <w:bCs/>
          <w:sz w:val="22"/>
          <w:szCs w:val="22"/>
          <w:lang w:val="es-ES" w:eastAsia="en-US"/>
        </w:rPr>
        <w:t xml:space="preserve"> </w:t>
      </w:r>
      <w:r w:rsidRPr="00E1709F">
        <w:rPr>
          <w:rFonts w:ascii="Arial" w:eastAsiaTheme="minorHAnsi" w:hAnsi="Arial" w:cs="Arial"/>
          <w:bCs/>
          <w:sz w:val="22"/>
          <w:szCs w:val="22"/>
          <w:lang w:val="es-ES" w:eastAsia="en-US"/>
        </w:rPr>
        <w:t>con la finalidad de contribuir al principio de cohesión territorial que tiene la Estrategia.</w:t>
      </w:r>
    </w:p>
    <w:p w14:paraId="00FAF536" w14:textId="77777777" w:rsidR="00F35EF6" w:rsidRPr="00B30385" w:rsidRDefault="00F35EF6" w:rsidP="00F209AA">
      <w:pPr>
        <w:tabs>
          <w:tab w:val="left" w:pos="426"/>
        </w:tabs>
        <w:spacing w:line="276" w:lineRule="auto"/>
        <w:ind w:right="-427"/>
        <w:jc w:val="both"/>
        <w:rPr>
          <w:rFonts w:ascii="Arial" w:eastAsiaTheme="minorHAnsi" w:hAnsi="Arial" w:cs="Arial"/>
          <w:bCs/>
          <w:sz w:val="22"/>
          <w:szCs w:val="22"/>
          <w:lang w:val="es-ES" w:eastAsia="en-US"/>
        </w:rPr>
      </w:pPr>
    </w:p>
    <w:p w14:paraId="564E3AE0" w14:textId="2A1D0D1D" w:rsidR="00B60F7C" w:rsidRPr="00B30385" w:rsidRDefault="00B60F7C" w:rsidP="00F209AA">
      <w:pPr>
        <w:tabs>
          <w:tab w:val="left" w:pos="426"/>
        </w:tabs>
        <w:spacing w:line="276" w:lineRule="auto"/>
        <w:ind w:right="-427"/>
        <w:jc w:val="both"/>
        <w:rPr>
          <w:rFonts w:ascii="Arial" w:eastAsiaTheme="minorHAnsi" w:hAnsi="Arial" w:cs="Arial"/>
          <w:bCs/>
          <w:sz w:val="22"/>
          <w:szCs w:val="22"/>
          <w:lang w:val="es-ES" w:eastAsia="en-US"/>
        </w:rPr>
      </w:pPr>
      <w:r w:rsidRPr="00237687">
        <w:rPr>
          <w:rFonts w:ascii="Arial" w:eastAsiaTheme="minorHAnsi" w:hAnsi="Arial" w:cs="Arial"/>
          <w:bCs/>
          <w:sz w:val="22"/>
          <w:szCs w:val="22"/>
          <w:lang w:val="es-ES" w:eastAsia="en-US"/>
        </w:rPr>
        <w:t xml:space="preserve">Teniendo en cuenta lo anterior, </w:t>
      </w:r>
      <w:r w:rsidR="0096347E" w:rsidRPr="00237687">
        <w:rPr>
          <w:rFonts w:ascii="Arial" w:eastAsiaTheme="minorHAnsi" w:hAnsi="Arial" w:cs="Arial"/>
          <w:bCs/>
          <w:sz w:val="22"/>
          <w:szCs w:val="22"/>
          <w:lang w:val="es-ES" w:eastAsia="en-US"/>
        </w:rPr>
        <w:t>se acuerda la siguiente distribución territorial de créditos junto con las consiguientes adjudicaciones para la aplicación de los Planes de Sostenibilidad Turística en Destinos por parte de las entidades locales:</w:t>
      </w:r>
    </w:p>
    <w:p w14:paraId="16FABA59" w14:textId="77777777" w:rsidR="001F1509" w:rsidRPr="00B30385" w:rsidRDefault="001F1509" w:rsidP="001F1509">
      <w:pPr>
        <w:pStyle w:val="Default"/>
        <w:rPr>
          <w:b/>
          <w:bCs/>
          <w:sz w:val="22"/>
          <w:szCs w:val="22"/>
          <w:u w:val="single"/>
        </w:rPr>
      </w:pPr>
    </w:p>
    <w:p w14:paraId="29B861E9" w14:textId="75777577" w:rsidR="001F1509" w:rsidRDefault="001F1509" w:rsidP="001F1509">
      <w:pPr>
        <w:rPr>
          <w:rFonts w:ascii="Arial" w:hAnsi="Arial" w:cs="Arial"/>
          <w:sz w:val="22"/>
          <w:szCs w:val="22"/>
        </w:rPr>
      </w:pPr>
    </w:p>
    <w:tbl>
      <w:tblPr>
        <w:tblpPr w:leftFromText="141" w:rightFromText="141" w:vertAnchor="text" w:horzAnchor="margin" w:tblpY="136"/>
        <w:tblW w:w="8495" w:type="dxa"/>
        <w:tblCellMar>
          <w:left w:w="0" w:type="dxa"/>
          <w:right w:w="0" w:type="dxa"/>
        </w:tblCellMar>
        <w:tblLook w:val="04A0" w:firstRow="1" w:lastRow="0" w:firstColumn="1" w:lastColumn="0" w:noHBand="0" w:noVBand="1"/>
      </w:tblPr>
      <w:tblGrid>
        <w:gridCol w:w="2644"/>
        <w:gridCol w:w="2030"/>
        <w:gridCol w:w="2189"/>
        <w:gridCol w:w="1632"/>
      </w:tblGrid>
      <w:tr w:rsidR="00B411FB" w:rsidRPr="008B28E9" w14:paraId="666149E3" w14:textId="77777777" w:rsidTr="004D451B">
        <w:trPr>
          <w:trHeight w:val="1268"/>
        </w:trPr>
        <w:tc>
          <w:tcPr>
            <w:tcW w:w="2644"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hideMark/>
          </w:tcPr>
          <w:p w14:paraId="62A9E9FE" w14:textId="77777777" w:rsidR="00B411FB" w:rsidRPr="008B28E9" w:rsidRDefault="00B411FB" w:rsidP="00B411FB">
            <w:pPr>
              <w:jc w:val="center"/>
              <w:rPr>
                <w:rFonts w:ascii="Arial" w:hAnsi="Arial" w:cs="Arial"/>
              </w:rPr>
            </w:pPr>
            <w:r w:rsidRPr="008B28E9">
              <w:rPr>
                <w:rFonts w:ascii="Arial" w:hAnsi="Arial" w:cs="Arial"/>
              </w:rPr>
              <w:br w:type="page"/>
            </w:r>
          </w:p>
          <w:p w14:paraId="2B82A8D0" w14:textId="77777777" w:rsidR="00B411FB" w:rsidRPr="008B28E9" w:rsidRDefault="00B411FB" w:rsidP="00B411FB">
            <w:pPr>
              <w:jc w:val="center"/>
              <w:rPr>
                <w:rFonts w:ascii="Arial" w:hAnsi="Arial" w:cs="Arial"/>
              </w:rPr>
            </w:pPr>
          </w:p>
          <w:p w14:paraId="4E9310D9" w14:textId="77777777" w:rsidR="00B411FB" w:rsidRPr="008B28E9" w:rsidRDefault="00B411FB" w:rsidP="00B411FB">
            <w:pPr>
              <w:jc w:val="center"/>
              <w:rPr>
                <w:rFonts w:ascii="Arial" w:hAnsi="Arial" w:cs="Arial"/>
                <w:b/>
                <w:bCs/>
                <w:color w:val="000000"/>
              </w:rPr>
            </w:pPr>
            <w:r w:rsidRPr="008B28E9">
              <w:rPr>
                <w:rFonts w:ascii="Arial" w:hAnsi="Arial" w:cs="Arial"/>
                <w:b/>
              </w:rPr>
              <w:t>CCAA</w:t>
            </w:r>
          </w:p>
        </w:tc>
        <w:tc>
          <w:tcPr>
            <w:tcW w:w="203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AFA3423" w14:textId="77777777" w:rsidR="00B411FB" w:rsidRPr="008B28E9" w:rsidRDefault="00B411FB" w:rsidP="00B411FB">
            <w:pPr>
              <w:jc w:val="center"/>
              <w:rPr>
                <w:rFonts w:ascii="Arial" w:hAnsi="Arial" w:cs="Arial"/>
                <w:b/>
                <w:bCs/>
              </w:rPr>
            </w:pPr>
            <w:r w:rsidRPr="008B28E9">
              <w:rPr>
                <w:rFonts w:ascii="Arial" w:hAnsi="Arial" w:cs="Arial"/>
                <w:b/>
                <w:bCs/>
              </w:rPr>
              <w:t>FONDOS ASIGNADOS A CCAA/EELL</w:t>
            </w:r>
          </w:p>
          <w:p w14:paraId="6BAF24B7" w14:textId="77777777" w:rsidR="00B411FB" w:rsidRPr="008B28E9" w:rsidRDefault="00B411FB" w:rsidP="00B411FB">
            <w:pPr>
              <w:jc w:val="center"/>
              <w:rPr>
                <w:rFonts w:ascii="Arial" w:hAnsi="Arial" w:cs="Arial"/>
                <w:b/>
                <w:bCs/>
              </w:rPr>
            </w:pPr>
            <w:r w:rsidRPr="008B28E9">
              <w:rPr>
                <w:rFonts w:ascii="Arial" w:hAnsi="Arial" w:cs="Arial"/>
                <w:b/>
                <w:bCs/>
              </w:rPr>
              <w:t>PLAN TERRITORIAL</w:t>
            </w:r>
          </w:p>
        </w:tc>
        <w:tc>
          <w:tcPr>
            <w:tcW w:w="2189" w:type="dxa"/>
            <w:tcBorders>
              <w:top w:val="single" w:sz="8" w:space="0" w:color="auto"/>
              <w:left w:val="nil"/>
              <w:bottom w:val="single" w:sz="8" w:space="0" w:color="auto"/>
              <w:right w:val="single" w:sz="8" w:space="0" w:color="auto"/>
            </w:tcBorders>
          </w:tcPr>
          <w:p w14:paraId="39206004" w14:textId="77777777" w:rsidR="00B411FB" w:rsidRPr="008B28E9" w:rsidRDefault="00B411FB" w:rsidP="00B411FB">
            <w:pPr>
              <w:jc w:val="center"/>
              <w:rPr>
                <w:rFonts w:ascii="Arial" w:hAnsi="Arial" w:cs="Arial"/>
                <w:b/>
                <w:bCs/>
              </w:rPr>
            </w:pPr>
            <w:r w:rsidRPr="008B28E9">
              <w:rPr>
                <w:rFonts w:ascii="Arial" w:hAnsi="Arial" w:cs="Arial"/>
                <w:b/>
                <w:bCs/>
              </w:rPr>
              <w:t>FONDOS ASIGNADOS A CCAA/EELL</w:t>
            </w:r>
          </w:p>
          <w:p w14:paraId="2A1043B5" w14:textId="77777777" w:rsidR="00B411FB" w:rsidRPr="008B28E9" w:rsidRDefault="00B411FB" w:rsidP="00B411FB">
            <w:pPr>
              <w:jc w:val="center"/>
              <w:rPr>
                <w:rFonts w:ascii="Arial" w:hAnsi="Arial" w:cs="Arial"/>
                <w:b/>
                <w:bCs/>
              </w:rPr>
            </w:pPr>
            <w:r w:rsidRPr="008B28E9">
              <w:rPr>
                <w:rFonts w:ascii="Arial" w:hAnsi="Arial" w:cs="Arial"/>
                <w:b/>
                <w:bCs/>
              </w:rPr>
              <w:t>PLAN NACIONAL</w:t>
            </w:r>
            <w:r>
              <w:rPr>
                <w:rFonts w:ascii="Arial" w:hAnsi="Arial" w:cs="Arial"/>
                <w:b/>
                <w:bCs/>
              </w:rPr>
              <w:t xml:space="preserve"> TERRITORIALIZADO</w:t>
            </w:r>
          </w:p>
        </w:tc>
        <w:tc>
          <w:tcPr>
            <w:tcW w:w="1632" w:type="dxa"/>
            <w:tcBorders>
              <w:top w:val="single" w:sz="8" w:space="0" w:color="auto"/>
              <w:left w:val="nil"/>
              <w:bottom w:val="single" w:sz="8" w:space="0" w:color="auto"/>
              <w:right w:val="single" w:sz="8" w:space="0" w:color="auto"/>
            </w:tcBorders>
          </w:tcPr>
          <w:p w14:paraId="4D0250D1" w14:textId="77777777" w:rsidR="00B411FB" w:rsidRPr="008B28E9" w:rsidRDefault="00B411FB" w:rsidP="00B411FB">
            <w:pPr>
              <w:jc w:val="center"/>
              <w:rPr>
                <w:rFonts w:ascii="Arial" w:hAnsi="Arial" w:cs="Arial"/>
                <w:b/>
                <w:bCs/>
              </w:rPr>
            </w:pPr>
          </w:p>
          <w:p w14:paraId="6CE34880" w14:textId="0FF2D0A8" w:rsidR="00B411FB" w:rsidRPr="008B28E9" w:rsidRDefault="00B411FB" w:rsidP="00B411FB">
            <w:pPr>
              <w:jc w:val="center"/>
              <w:rPr>
                <w:rFonts w:ascii="Arial" w:hAnsi="Arial" w:cs="Arial"/>
                <w:b/>
                <w:bCs/>
              </w:rPr>
            </w:pPr>
            <w:r w:rsidRPr="008B28E9">
              <w:rPr>
                <w:rFonts w:ascii="Arial" w:hAnsi="Arial" w:cs="Arial"/>
                <w:b/>
                <w:bCs/>
              </w:rPr>
              <w:t>TOTAL FONDOS ASIG</w:t>
            </w:r>
            <w:r w:rsidR="00504E9D">
              <w:rPr>
                <w:rFonts w:ascii="Arial" w:hAnsi="Arial" w:cs="Arial"/>
                <w:b/>
                <w:bCs/>
              </w:rPr>
              <w:t>N</w:t>
            </w:r>
            <w:r w:rsidRPr="008B28E9">
              <w:rPr>
                <w:rFonts w:ascii="Arial" w:hAnsi="Arial" w:cs="Arial"/>
                <w:b/>
                <w:bCs/>
              </w:rPr>
              <w:t>ADOS</w:t>
            </w:r>
          </w:p>
        </w:tc>
      </w:tr>
      <w:tr w:rsidR="00B411FB" w:rsidRPr="008B28E9" w14:paraId="672EB8A4" w14:textId="77777777" w:rsidTr="004D451B">
        <w:trPr>
          <w:trHeight w:val="317"/>
        </w:trPr>
        <w:tc>
          <w:tcPr>
            <w:tcW w:w="264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3D5C7F2D" w14:textId="77777777" w:rsidR="00B411FB" w:rsidRPr="008B28E9" w:rsidRDefault="00B411FB" w:rsidP="00B411FB">
            <w:pPr>
              <w:rPr>
                <w:rFonts w:ascii="Arial" w:hAnsi="Arial" w:cs="Arial"/>
              </w:rPr>
            </w:pPr>
            <w:r w:rsidRPr="008B28E9">
              <w:rPr>
                <w:rFonts w:ascii="Arial" w:hAnsi="Arial" w:cs="Arial"/>
              </w:rPr>
              <w:t>Andalucía</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087C8E7" w14:textId="77777777" w:rsidR="00B411FB" w:rsidRPr="008B28E9" w:rsidRDefault="00B411FB" w:rsidP="00B411FB">
            <w:pPr>
              <w:jc w:val="center"/>
              <w:rPr>
                <w:rFonts w:ascii="Arial" w:hAnsi="Arial" w:cs="Arial"/>
              </w:rPr>
            </w:pPr>
            <w:r w:rsidRPr="008B28E9">
              <w:rPr>
                <w:rFonts w:ascii="Arial" w:hAnsi="Arial" w:cs="Arial"/>
                <w:color w:val="000000"/>
              </w:rPr>
              <w:t>52.490.000,00 €</w:t>
            </w:r>
          </w:p>
        </w:tc>
        <w:tc>
          <w:tcPr>
            <w:tcW w:w="2189" w:type="dxa"/>
            <w:tcBorders>
              <w:top w:val="nil"/>
              <w:left w:val="nil"/>
              <w:bottom w:val="single" w:sz="8" w:space="0" w:color="auto"/>
              <w:right w:val="single" w:sz="8" w:space="0" w:color="auto"/>
            </w:tcBorders>
            <w:vAlign w:val="bottom"/>
          </w:tcPr>
          <w:p w14:paraId="1432FA72" w14:textId="77777777" w:rsidR="00B411FB" w:rsidRPr="0087786B" w:rsidRDefault="00B411FB" w:rsidP="00B411FB">
            <w:pPr>
              <w:jc w:val="center"/>
              <w:rPr>
                <w:rFonts w:ascii="Arial" w:hAnsi="Arial" w:cs="Arial"/>
              </w:rPr>
            </w:pPr>
            <w:r w:rsidRPr="0087786B">
              <w:rPr>
                <w:rFonts w:ascii="Arial" w:hAnsi="Arial" w:cs="Arial"/>
                <w:color w:val="000000"/>
              </w:rPr>
              <w:t>5.500.000,00 €</w:t>
            </w:r>
          </w:p>
        </w:tc>
        <w:tc>
          <w:tcPr>
            <w:tcW w:w="1632" w:type="dxa"/>
            <w:tcBorders>
              <w:top w:val="nil"/>
              <w:left w:val="nil"/>
              <w:bottom w:val="single" w:sz="8" w:space="0" w:color="auto"/>
              <w:right w:val="single" w:sz="8" w:space="0" w:color="auto"/>
            </w:tcBorders>
            <w:vAlign w:val="bottom"/>
          </w:tcPr>
          <w:p w14:paraId="02BEA78F" w14:textId="77777777" w:rsidR="00B411FB" w:rsidRPr="0087786B" w:rsidRDefault="00B411FB" w:rsidP="00B411FB">
            <w:pPr>
              <w:jc w:val="center"/>
              <w:rPr>
                <w:rFonts w:ascii="Arial" w:hAnsi="Arial" w:cs="Arial"/>
              </w:rPr>
            </w:pPr>
            <w:r w:rsidRPr="0087786B">
              <w:rPr>
                <w:rFonts w:ascii="Arial" w:hAnsi="Arial" w:cs="Arial"/>
                <w:color w:val="000000"/>
              </w:rPr>
              <w:t>57.990.000,00 €</w:t>
            </w:r>
          </w:p>
        </w:tc>
      </w:tr>
      <w:tr w:rsidR="00B411FB" w:rsidRPr="008B28E9" w14:paraId="2BF470DE"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066E656B" w14:textId="77777777" w:rsidR="00B411FB" w:rsidRPr="008B28E9" w:rsidRDefault="00B411FB" w:rsidP="00B411FB">
            <w:pPr>
              <w:rPr>
                <w:rFonts w:ascii="Arial" w:hAnsi="Arial" w:cs="Arial"/>
              </w:rPr>
            </w:pPr>
            <w:r w:rsidRPr="008B28E9">
              <w:rPr>
                <w:rFonts w:ascii="Arial" w:hAnsi="Arial" w:cs="Arial"/>
              </w:rPr>
              <w:t>Cataluña</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4356B53" w14:textId="77777777" w:rsidR="00B411FB" w:rsidRPr="008B28E9" w:rsidRDefault="00B411FB" w:rsidP="00B411FB">
            <w:pPr>
              <w:jc w:val="center"/>
              <w:rPr>
                <w:rFonts w:ascii="Arial" w:hAnsi="Arial" w:cs="Arial"/>
              </w:rPr>
            </w:pPr>
            <w:r w:rsidRPr="008B28E9">
              <w:rPr>
                <w:rFonts w:ascii="Arial" w:hAnsi="Arial" w:cs="Arial"/>
                <w:color w:val="000000"/>
              </w:rPr>
              <w:t>50.500.000,00 €</w:t>
            </w:r>
          </w:p>
        </w:tc>
        <w:tc>
          <w:tcPr>
            <w:tcW w:w="2189" w:type="dxa"/>
            <w:tcBorders>
              <w:top w:val="nil"/>
              <w:left w:val="nil"/>
              <w:bottom w:val="single" w:sz="8" w:space="0" w:color="auto"/>
              <w:right w:val="single" w:sz="8" w:space="0" w:color="auto"/>
            </w:tcBorders>
            <w:vAlign w:val="bottom"/>
          </w:tcPr>
          <w:p w14:paraId="2063247F" w14:textId="77777777" w:rsidR="00B411FB" w:rsidRPr="0087786B" w:rsidRDefault="00B411FB" w:rsidP="00B411FB">
            <w:pPr>
              <w:jc w:val="center"/>
              <w:rPr>
                <w:rFonts w:ascii="Arial" w:hAnsi="Arial" w:cs="Arial"/>
              </w:rPr>
            </w:pPr>
            <w:r w:rsidRPr="0087786B">
              <w:rPr>
                <w:rFonts w:ascii="Arial" w:hAnsi="Arial" w:cs="Arial"/>
                <w:color w:val="000000"/>
              </w:rPr>
              <w:t>3.170.000,00 €</w:t>
            </w:r>
          </w:p>
        </w:tc>
        <w:tc>
          <w:tcPr>
            <w:tcW w:w="1632" w:type="dxa"/>
            <w:tcBorders>
              <w:top w:val="nil"/>
              <w:left w:val="nil"/>
              <w:bottom w:val="single" w:sz="8" w:space="0" w:color="auto"/>
              <w:right w:val="single" w:sz="8" w:space="0" w:color="auto"/>
            </w:tcBorders>
            <w:vAlign w:val="bottom"/>
          </w:tcPr>
          <w:p w14:paraId="167BF1B5" w14:textId="77777777" w:rsidR="00B411FB" w:rsidRPr="0087786B" w:rsidRDefault="00B411FB" w:rsidP="00B411FB">
            <w:pPr>
              <w:jc w:val="center"/>
              <w:rPr>
                <w:rFonts w:ascii="Arial" w:hAnsi="Arial" w:cs="Arial"/>
              </w:rPr>
            </w:pPr>
            <w:r w:rsidRPr="0087786B">
              <w:rPr>
                <w:rFonts w:ascii="Arial" w:hAnsi="Arial" w:cs="Arial"/>
                <w:color w:val="000000"/>
              </w:rPr>
              <w:t>53.670.000,00 €</w:t>
            </w:r>
          </w:p>
        </w:tc>
      </w:tr>
      <w:tr w:rsidR="00B411FB" w:rsidRPr="008B28E9" w14:paraId="310C64DB"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5B9AAC65" w14:textId="77777777" w:rsidR="00B411FB" w:rsidRPr="008B28E9" w:rsidRDefault="00B411FB" w:rsidP="00B411FB">
            <w:pPr>
              <w:rPr>
                <w:rFonts w:ascii="Arial" w:hAnsi="Arial" w:cs="Arial"/>
              </w:rPr>
            </w:pPr>
            <w:r w:rsidRPr="008B28E9">
              <w:rPr>
                <w:rFonts w:ascii="Arial" w:hAnsi="Arial" w:cs="Arial"/>
              </w:rPr>
              <w:t>C. Valenciana</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7D47DED" w14:textId="77777777" w:rsidR="00B411FB" w:rsidRPr="008B28E9" w:rsidRDefault="00B411FB" w:rsidP="00B411FB">
            <w:pPr>
              <w:jc w:val="center"/>
              <w:rPr>
                <w:rFonts w:ascii="Arial" w:hAnsi="Arial" w:cs="Arial"/>
              </w:rPr>
            </w:pPr>
            <w:r w:rsidRPr="008B28E9">
              <w:rPr>
                <w:rFonts w:ascii="Arial" w:hAnsi="Arial" w:cs="Arial"/>
                <w:color w:val="000000"/>
              </w:rPr>
              <w:t>36.031.000,00 €</w:t>
            </w:r>
          </w:p>
        </w:tc>
        <w:tc>
          <w:tcPr>
            <w:tcW w:w="2189" w:type="dxa"/>
            <w:tcBorders>
              <w:top w:val="nil"/>
              <w:left w:val="nil"/>
              <w:bottom w:val="single" w:sz="8" w:space="0" w:color="auto"/>
              <w:right w:val="single" w:sz="8" w:space="0" w:color="auto"/>
            </w:tcBorders>
            <w:vAlign w:val="bottom"/>
          </w:tcPr>
          <w:p w14:paraId="0DEFC1C5" w14:textId="77777777" w:rsidR="00B411FB" w:rsidRPr="0087786B" w:rsidRDefault="00B411FB" w:rsidP="00B411FB">
            <w:pPr>
              <w:jc w:val="center"/>
              <w:rPr>
                <w:rFonts w:ascii="Arial" w:hAnsi="Arial" w:cs="Arial"/>
              </w:rPr>
            </w:pPr>
            <w:r w:rsidRPr="0087786B">
              <w:rPr>
                <w:rFonts w:ascii="Arial" w:hAnsi="Arial" w:cs="Arial"/>
                <w:color w:val="000000"/>
              </w:rPr>
              <w:t>5.500.000,00 €</w:t>
            </w:r>
          </w:p>
        </w:tc>
        <w:tc>
          <w:tcPr>
            <w:tcW w:w="1632" w:type="dxa"/>
            <w:tcBorders>
              <w:top w:val="nil"/>
              <w:left w:val="nil"/>
              <w:bottom w:val="single" w:sz="8" w:space="0" w:color="auto"/>
              <w:right w:val="single" w:sz="8" w:space="0" w:color="auto"/>
            </w:tcBorders>
            <w:vAlign w:val="bottom"/>
          </w:tcPr>
          <w:p w14:paraId="41E95FC8" w14:textId="77777777" w:rsidR="00B411FB" w:rsidRPr="0087786B" w:rsidRDefault="00B411FB" w:rsidP="00B411FB">
            <w:pPr>
              <w:jc w:val="center"/>
              <w:rPr>
                <w:rFonts w:ascii="Arial" w:hAnsi="Arial" w:cs="Arial"/>
              </w:rPr>
            </w:pPr>
            <w:r w:rsidRPr="0087786B">
              <w:rPr>
                <w:rFonts w:ascii="Arial" w:hAnsi="Arial" w:cs="Arial"/>
                <w:color w:val="000000"/>
              </w:rPr>
              <w:t>41.531.000,00 €</w:t>
            </w:r>
          </w:p>
        </w:tc>
      </w:tr>
      <w:tr w:rsidR="00B411FB" w:rsidRPr="008B28E9" w14:paraId="29C5F367"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4386004C" w14:textId="77777777" w:rsidR="00B411FB" w:rsidRPr="008B28E9" w:rsidRDefault="00B411FB" w:rsidP="00B411FB">
            <w:pPr>
              <w:rPr>
                <w:rFonts w:ascii="Arial" w:hAnsi="Arial" w:cs="Arial"/>
              </w:rPr>
            </w:pPr>
            <w:r w:rsidRPr="008B28E9">
              <w:rPr>
                <w:rFonts w:ascii="Arial" w:hAnsi="Arial" w:cs="Arial"/>
              </w:rPr>
              <w:t>Canarias</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6C63C2E" w14:textId="77777777" w:rsidR="00B411FB" w:rsidRPr="008B28E9" w:rsidRDefault="00B411FB" w:rsidP="00B411FB">
            <w:pPr>
              <w:jc w:val="center"/>
              <w:rPr>
                <w:rFonts w:ascii="Arial" w:hAnsi="Arial" w:cs="Arial"/>
              </w:rPr>
            </w:pPr>
            <w:r w:rsidRPr="008B28E9">
              <w:rPr>
                <w:rFonts w:ascii="Arial" w:hAnsi="Arial" w:cs="Arial"/>
                <w:color w:val="000000"/>
              </w:rPr>
              <w:t>35.840.000,00 €</w:t>
            </w:r>
          </w:p>
        </w:tc>
        <w:tc>
          <w:tcPr>
            <w:tcW w:w="2189" w:type="dxa"/>
            <w:tcBorders>
              <w:top w:val="nil"/>
              <w:left w:val="nil"/>
              <w:bottom w:val="single" w:sz="8" w:space="0" w:color="auto"/>
              <w:right w:val="single" w:sz="8" w:space="0" w:color="auto"/>
            </w:tcBorders>
            <w:vAlign w:val="bottom"/>
          </w:tcPr>
          <w:p w14:paraId="7DFF58A5" w14:textId="77777777" w:rsidR="00B411FB" w:rsidRPr="0087786B" w:rsidRDefault="00B411FB" w:rsidP="00B411FB">
            <w:pPr>
              <w:jc w:val="center"/>
              <w:rPr>
                <w:rFonts w:ascii="Arial" w:hAnsi="Arial" w:cs="Arial"/>
              </w:rPr>
            </w:pPr>
            <w:r w:rsidRPr="0087786B">
              <w:rPr>
                <w:rFonts w:ascii="Arial" w:hAnsi="Arial" w:cs="Arial"/>
                <w:color w:val="000000"/>
              </w:rPr>
              <w:t>5.500.000,00 €</w:t>
            </w:r>
          </w:p>
        </w:tc>
        <w:tc>
          <w:tcPr>
            <w:tcW w:w="1632" w:type="dxa"/>
            <w:tcBorders>
              <w:top w:val="nil"/>
              <w:left w:val="nil"/>
              <w:bottom w:val="single" w:sz="8" w:space="0" w:color="auto"/>
              <w:right w:val="single" w:sz="8" w:space="0" w:color="auto"/>
            </w:tcBorders>
            <w:vAlign w:val="bottom"/>
          </w:tcPr>
          <w:p w14:paraId="47F8AB06" w14:textId="77777777" w:rsidR="00B411FB" w:rsidRPr="0087786B" w:rsidRDefault="00B411FB" w:rsidP="00B411FB">
            <w:pPr>
              <w:jc w:val="center"/>
              <w:rPr>
                <w:rFonts w:ascii="Arial" w:hAnsi="Arial" w:cs="Arial"/>
              </w:rPr>
            </w:pPr>
            <w:r w:rsidRPr="0087786B">
              <w:rPr>
                <w:rFonts w:ascii="Arial" w:hAnsi="Arial" w:cs="Arial"/>
                <w:color w:val="000000"/>
              </w:rPr>
              <w:t>41.340.000,00 €</w:t>
            </w:r>
          </w:p>
        </w:tc>
      </w:tr>
      <w:tr w:rsidR="00B411FB" w:rsidRPr="008B28E9" w14:paraId="20602F30"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2A177150" w14:textId="77777777" w:rsidR="00B411FB" w:rsidRPr="008B28E9" w:rsidRDefault="00B411FB" w:rsidP="00B411FB">
            <w:pPr>
              <w:rPr>
                <w:rFonts w:ascii="Arial" w:hAnsi="Arial" w:cs="Arial"/>
              </w:rPr>
            </w:pPr>
            <w:r w:rsidRPr="008B28E9">
              <w:rPr>
                <w:rFonts w:ascii="Arial" w:hAnsi="Arial" w:cs="Arial"/>
              </w:rPr>
              <w:t>Balears (Illes)</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062DB0F" w14:textId="77777777" w:rsidR="00B411FB" w:rsidRPr="008B28E9" w:rsidRDefault="00B411FB" w:rsidP="00B411FB">
            <w:pPr>
              <w:jc w:val="center"/>
              <w:rPr>
                <w:rFonts w:ascii="Arial" w:hAnsi="Arial" w:cs="Arial"/>
              </w:rPr>
            </w:pPr>
            <w:r w:rsidRPr="008B28E9">
              <w:rPr>
                <w:rFonts w:ascii="Arial" w:hAnsi="Arial" w:cs="Arial"/>
                <w:color w:val="000000"/>
              </w:rPr>
              <w:t>34.510.000,00 €</w:t>
            </w:r>
          </w:p>
        </w:tc>
        <w:tc>
          <w:tcPr>
            <w:tcW w:w="2189" w:type="dxa"/>
            <w:tcBorders>
              <w:top w:val="nil"/>
              <w:left w:val="nil"/>
              <w:bottom w:val="single" w:sz="8" w:space="0" w:color="auto"/>
              <w:right w:val="single" w:sz="8" w:space="0" w:color="auto"/>
            </w:tcBorders>
            <w:vAlign w:val="bottom"/>
          </w:tcPr>
          <w:p w14:paraId="4B7AB5DA" w14:textId="77777777" w:rsidR="00B411FB" w:rsidRPr="0087786B" w:rsidRDefault="00B411FB" w:rsidP="00B411FB">
            <w:pPr>
              <w:jc w:val="center"/>
              <w:rPr>
                <w:rFonts w:ascii="Arial" w:hAnsi="Arial" w:cs="Arial"/>
              </w:rPr>
            </w:pPr>
            <w:r w:rsidRPr="0087786B">
              <w:rPr>
                <w:rFonts w:ascii="Arial" w:hAnsi="Arial" w:cs="Arial"/>
                <w:color w:val="000000"/>
              </w:rPr>
              <w:t>0,00 €</w:t>
            </w:r>
          </w:p>
        </w:tc>
        <w:tc>
          <w:tcPr>
            <w:tcW w:w="1632" w:type="dxa"/>
            <w:tcBorders>
              <w:top w:val="nil"/>
              <w:left w:val="nil"/>
              <w:bottom w:val="single" w:sz="8" w:space="0" w:color="auto"/>
              <w:right w:val="single" w:sz="8" w:space="0" w:color="auto"/>
            </w:tcBorders>
            <w:vAlign w:val="bottom"/>
          </w:tcPr>
          <w:p w14:paraId="3D9F3926" w14:textId="77777777" w:rsidR="00B411FB" w:rsidRPr="0087786B" w:rsidRDefault="00B411FB" w:rsidP="00B411FB">
            <w:pPr>
              <w:jc w:val="center"/>
              <w:rPr>
                <w:rFonts w:ascii="Arial" w:hAnsi="Arial" w:cs="Arial"/>
              </w:rPr>
            </w:pPr>
            <w:r w:rsidRPr="0087786B">
              <w:rPr>
                <w:rFonts w:ascii="Arial" w:hAnsi="Arial" w:cs="Arial"/>
                <w:color w:val="000000"/>
              </w:rPr>
              <w:t>34.510.000,00 €</w:t>
            </w:r>
          </w:p>
        </w:tc>
      </w:tr>
      <w:tr w:rsidR="00B411FB" w:rsidRPr="008B28E9" w14:paraId="7604148E"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24FF09C0" w14:textId="77777777" w:rsidR="00B411FB" w:rsidRPr="008B28E9" w:rsidRDefault="00B411FB" w:rsidP="00B411FB">
            <w:pPr>
              <w:rPr>
                <w:rFonts w:ascii="Arial" w:hAnsi="Arial" w:cs="Arial"/>
              </w:rPr>
            </w:pPr>
            <w:r w:rsidRPr="008B28E9">
              <w:rPr>
                <w:rFonts w:ascii="Arial" w:hAnsi="Arial" w:cs="Arial"/>
              </w:rPr>
              <w:t>Castilla y León</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725BEE6" w14:textId="77777777" w:rsidR="00B411FB" w:rsidRPr="008B28E9" w:rsidRDefault="00B411FB" w:rsidP="00B411FB">
            <w:pPr>
              <w:jc w:val="center"/>
              <w:rPr>
                <w:rFonts w:ascii="Arial" w:hAnsi="Arial" w:cs="Arial"/>
              </w:rPr>
            </w:pPr>
            <w:r w:rsidRPr="008B28E9">
              <w:rPr>
                <w:rFonts w:ascii="Arial" w:hAnsi="Arial" w:cs="Arial"/>
                <w:color w:val="000000"/>
              </w:rPr>
              <w:t>30.020.000,00 €</w:t>
            </w:r>
          </w:p>
        </w:tc>
        <w:tc>
          <w:tcPr>
            <w:tcW w:w="2189" w:type="dxa"/>
            <w:tcBorders>
              <w:top w:val="nil"/>
              <w:left w:val="nil"/>
              <w:bottom w:val="single" w:sz="8" w:space="0" w:color="auto"/>
              <w:right w:val="single" w:sz="8" w:space="0" w:color="auto"/>
            </w:tcBorders>
            <w:vAlign w:val="bottom"/>
          </w:tcPr>
          <w:p w14:paraId="2E196794" w14:textId="77777777" w:rsidR="00B411FB" w:rsidRPr="0087786B" w:rsidRDefault="00B411FB" w:rsidP="00B411FB">
            <w:pPr>
              <w:jc w:val="center"/>
              <w:rPr>
                <w:rFonts w:ascii="Arial" w:hAnsi="Arial" w:cs="Arial"/>
              </w:rPr>
            </w:pPr>
            <w:r w:rsidRPr="0087786B">
              <w:rPr>
                <w:rFonts w:ascii="Arial" w:hAnsi="Arial" w:cs="Arial"/>
                <w:color w:val="000000"/>
              </w:rPr>
              <w:t>0,00 €</w:t>
            </w:r>
          </w:p>
        </w:tc>
        <w:tc>
          <w:tcPr>
            <w:tcW w:w="1632" w:type="dxa"/>
            <w:tcBorders>
              <w:top w:val="nil"/>
              <w:left w:val="nil"/>
              <w:bottom w:val="single" w:sz="8" w:space="0" w:color="auto"/>
              <w:right w:val="single" w:sz="8" w:space="0" w:color="auto"/>
            </w:tcBorders>
            <w:vAlign w:val="bottom"/>
          </w:tcPr>
          <w:p w14:paraId="1FA7736E" w14:textId="77777777" w:rsidR="00B411FB" w:rsidRPr="0087786B" w:rsidRDefault="00B411FB" w:rsidP="00B411FB">
            <w:pPr>
              <w:jc w:val="center"/>
              <w:rPr>
                <w:rFonts w:ascii="Arial" w:hAnsi="Arial" w:cs="Arial"/>
              </w:rPr>
            </w:pPr>
            <w:r w:rsidRPr="0087786B">
              <w:rPr>
                <w:rFonts w:ascii="Arial" w:hAnsi="Arial" w:cs="Arial"/>
                <w:color w:val="000000"/>
              </w:rPr>
              <w:t>30.020.000,00 €</w:t>
            </w:r>
          </w:p>
        </w:tc>
      </w:tr>
      <w:tr w:rsidR="00B411FB" w:rsidRPr="008B28E9" w14:paraId="28B66B15"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15958460" w14:textId="77777777" w:rsidR="00B411FB" w:rsidRPr="008B28E9" w:rsidRDefault="00B411FB" w:rsidP="00B411FB">
            <w:pPr>
              <w:rPr>
                <w:rFonts w:ascii="Arial" w:hAnsi="Arial" w:cs="Arial"/>
              </w:rPr>
            </w:pPr>
            <w:r w:rsidRPr="008B28E9">
              <w:rPr>
                <w:rFonts w:ascii="Arial" w:hAnsi="Arial" w:cs="Arial"/>
              </w:rPr>
              <w:t>Castilla - La Mancha</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40402DC" w14:textId="77777777" w:rsidR="00B411FB" w:rsidRPr="008B28E9" w:rsidRDefault="00B411FB" w:rsidP="00B411FB">
            <w:pPr>
              <w:jc w:val="center"/>
              <w:rPr>
                <w:rFonts w:ascii="Arial" w:hAnsi="Arial" w:cs="Arial"/>
              </w:rPr>
            </w:pPr>
            <w:r w:rsidRPr="008B28E9">
              <w:rPr>
                <w:rFonts w:ascii="Arial" w:hAnsi="Arial" w:cs="Arial"/>
                <w:color w:val="000000"/>
              </w:rPr>
              <w:t>25.380.000,00 €</w:t>
            </w:r>
          </w:p>
        </w:tc>
        <w:tc>
          <w:tcPr>
            <w:tcW w:w="2189" w:type="dxa"/>
            <w:tcBorders>
              <w:top w:val="nil"/>
              <w:left w:val="nil"/>
              <w:bottom w:val="single" w:sz="8" w:space="0" w:color="auto"/>
              <w:right w:val="single" w:sz="8" w:space="0" w:color="auto"/>
            </w:tcBorders>
            <w:vAlign w:val="bottom"/>
          </w:tcPr>
          <w:p w14:paraId="48EE7D4D" w14:textId="77777777" w:rsidR="00B411FB" w:rsidRPr="0087786B" w:rsidRDefault="00B411FB" w:rsidP="00B411FB">
            <w:pPr>
              <w:jc w:val="center"/>
              <w:rPr>
                <w:rFonts w:ascii="Arial" w:hAnsi="Arial" w:cs="Arial"/>
              </w:rPr>
            </w:pPr>
            <w:r w:rsidRPr="0087786B">
              <w:rPr>
                <w:rFonts w:ascii="Arial" w:hAnsi="Arial" w:cs="Arial"/>
                <w:color w:val="000000"/>
              </w:rPr>
              <w:t>2.000.000,00 €</w:t>
            </w:r>
          </w:p>
        </w:tc>
        <w:tc>
          <w:tcPr>
            <w:tcW w:w="1632" w:type="dxa"/>
            <w:tcBorders>
              <w:top w:val="nil"/>
              <w:left w:val="nil"/>
              <w:bottom w:val="single" w:sz="8" w:space="0" w:color="auto"/>
              <w:right w:val="single" w:sz="8" w:space="0" w:color="auto"/>
            </w:tcBorders>
            <w:vAlign w:val="bottom"/>
          </w:tcPr>
          <w:p w14:paraId="0049C27A" w14:textId="77777777" w:rsidR="00B411FB" w:rsidRPr="0087786B" w:rsidRDefault="00B411FB" w:rsidP="00B411FB">
            <w:pPr>
              <w:jc w:val="center"/>
              <w:rPr>
                <w:rFonts w:ascii="Arial" w:hAnsi="Arial" w:cs="Arial"/>
              </w:rPr>
            </w:pPr>
            <w:r w:rsidRPr="0087786B">
              <w:rPr>
                <w:rFonts w:ascii="Arial" w:hAnsi="Arial" w:cs="Arial"/>
                <w:color w:val="000000"/>
              </w:rPr>
              <w:t>27.380.000,00 €</w:t>
            </w:r>
          </w:p>
        </w:tc>
      </w:tr>
      <w:tr w:rsidR="00B411FB" w:rsidRPr="008B28E9" w14:paraId="4E1A6E1B"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7936D746" w14:textId="77777777" w:rsidR="00B411FB" w:rsidRPr="008B28E9" w:rsidRDefault="00B411FB" w:rsidP="00B411FB">
            <w:pPr>
              <w:rPr>
                <w:rFonts w:ascii="Arial" w:hAnsi="Arial" w:cs="Arial"/>
              </w:rPr>
            </w:pPr>
            <w:r w:rsidRPr="008B28E9">
              <w:rPr>
                <w:rFonts w:ascii="Arial" w:hAnsi="Arial" w:cs="Arial"/>
              </w:rPr>
              <w:t>Madrid (C. de)</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7ED8E11" w14:textId="77777777" w:rsidR="00B411FB" w:rsidRPr="008B28E9" w:rsidRDefault="00B411FB" w:rsidP="00B411FB">
            <w:pPr>
              <w:jc w:val="center"/>
              <w:rPr>
                <w:rFonts w:ascii="Arial" w:hAnsi="Arial" w:cs="Arial"/>
              </w:rPr>
            </w:pPr>
            <w:r w:rsidRPr="008B28E9">
              <w:rPr>
                <w:rFonts w:ascii="Arial" w:hAnsi="Arial" w:cs="Arial"/>
                <w:color w:val="000000"/>
              </w:rPr>
              <w:t>24.891.000,00 €</w:t>
            </w:r>
          </w:p>
        </w:tc>
        <w:tc>
          <w:tcPr>
            <w:tcW w:w="2189" w:type="dxa"/>
            <w:tcBorders>
              <w:top w:val="nil"/>
              <w:left w:val="nil"/>
              <w:bottom w:val="single" w:sz="8" w:space="0" w:color="auto"/>
              <w:right w:val="single" w:sz="8" w:space="0" w:color="auto"/>
            </w:tcBorders>
            <w:vAlign w:val="bottom"/>
          </w:tcPr>
          <w:p w14:paraId="7F7002E8" w14:textId="77777777" w:rsidR="00B411FB" w:rsidRPr="0087786B" w:rsidRDefault="00B411FB" w:rsidP="00B411FB">
            <w:pPr>
              <w:jc w:val="center"/>
              <w:rPr>
                <w:rFonts w:ascii="Arial" w:hAnsi="Arial" w:cs="Arial"/>
              </w:rPr>
            </w:pPr>
            <w:r w:rsidRPr="0087786B">
              <w:rPr>
                <w:rFonts w:ascii="Arial" w:hAnsi="Arial" w:cs="Arial"/>
                <w:color w:val="000000"/>
              </w:rPr>
              <w:t>0,00 €</w:t>
            </w:r>
          </w:p>
        </w:tc>
        <w:tc>
          <w:tcPr>
            <w:tcW w:w="1632" w:type="dxa"/>
            <w:tcBorders>
              <w:top w:val="nil"/>
              <w:left w:val="nil"/>
              <w:bottom w:val="single" w:sz="8" w:space="0" w:color="auto"/>
              <w:right w:val="single" w:sz="8" w:space="0" w:color="auto"/>
            </w:tcBorders>
            <w:vAlign w:val="bottom"/>
          </w:tcPr>
          <w:p w14:paraId="072C6B3B" w14:textId="77777777" w:rsidR="00B411FB" w:rsidRPr="0087786B" w:rsidRDefault="00B411FB" w:rsidP="00B411FB">
            <w:pPr>
              <w:jc w:val="center"/>
              <w:rPr>
                <w:rFonts w:ascii="Arial" w:hAnsi="Arial" w:cs="Arial"/>
              </w:rPr>
            </w:pPr>
            <w:r w:rsidRPr="0087786B">
              <w:rPr>
                <w:rFonts w:ascii="Arial" w:hAnsi="Arial" w:cs="Arial"/>
                <w:color w:val="000000"/>
              </w:rPr>
              <w:t>24.891.000,00 €</w:t>
            </w:r>
          </w:p>
        </w:tc>
      </w:tr>
      <w:tr w:rsidR="00B411FB" w:rsidRPr="008B28E9" w14:paraId="0D53C08D"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66FEDA12" w14:textId="77777777" w:rsidR="00B411FB" w:rsidRPr="008B28E9" w:rsidRDefault="00B411FB" w:rsidP="00B411FB">
            <w:pPr>
              <w:rPr>
                <w:rFonts w:ascii="Arial" w:hAnsi="Arial" w:cs="Arial"/>
              </w:rPr>
            </w:pPr>
            <w:r w:rsidRPr="008B28E9">
              <w:rPr>
                <w:rFonts w:ascii="Arial" w:hAnsi="Arial" w:cs="Arial"/>
              </w:rPr>
              <w:t>Aragón</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A00E3B1" w14:textId="77777777" w:rsidR="00B411FB" w:rsidRPr="008B28E9" w:rsidRDefault="00B411FB" w:rsidP="00B411FB">
            <w:pPr>
              <w:jc w:val="center"/>
              <w:rPr>
                <w:rFonts w:ascii="Arial" w:hAnsi="Arial" w:cs="Arial"/>
              </w:rPr>
            </w:pPr>
            <w:r w:rsidRPr="008B28E9">
              <w:rPr>
                <w:rFonts w:ascii="Arial" w:hAnsi="Arial" w:cs="Arial"/>
                <w:color w:val="000000"/>
              </w:rPr>
              <w:t>21.740.000,00 €</w:t>
            </w:r>
          </w:p>
        </w:tc>
        <w:tc>
          <w:tcPr>
            <w:tcW w:w="2189" w:type="dxa"/>
            <w:tcBorders>
              <w:top w:val="nil"/>
              <w:left w:val="nil"/>
              <w:bottom w:val="single" w:sz="8" w:space="0" w:color="auto"/>
              <w:right w:val="single" w:sz="8" w:space="0" w:color="auto"/>
            </w:tcBorders>
            <w:vAlign w:val="bottom"/>
          </w:tcPr>
          <w:p w14:paraId="6F2BE081" w14:textId="77777777" w:rsidR="00B411FB" w:rsidRPr="0087786B" w:rsidRDefault="00B411FB" w:rsidP="00B411FB">
            <w:pPr>
              <w:jc w:val="center"/>
              <w:rPr>
                <w:rFonts w:ascii="Arial" w:hAnsi="Arial" w:cs="Arial"/>
              </w:rPr>
            </w:pPr>
            <w:r w:rsidRPr="0087786B">
              <w:rPr>
                <w:rFonts w:ascii="Arial" w:hAnsi="Arial" w:cs="Arial"/>
                <w:color w:val="000000"/>
              </w:rPr>
              <w:t>0,00 €</w:t>
            </w:r>
          </w:p>
        </w:tc>
        <w:tc>
          <w:tcPr>
            <w:tcW w:w="1632" w:type="dxa"/>
            <w:tcBorders>
              <w:top w:val="nil"/>
              <w:left w:val="nil"/>
              <w:bottom w:val="single" w:sz="8" w:space="0" w:color="auto"/>
              <w:right w:val="single" w:sz="8" w:space="0" w:color="auto"/>
            </w:tcBorders>
            <w:vAlign w:val="bottom"/>
          </w:tcPr>
          <w:p w14:paraId="0150A197" w14:textId="77777777" w:rsidR="00B411FB" w:rsidRPr="0087786B" w:rsidRDefault="00B411FB" w:rsidP="00B411FB">
            <w:pPr>
              <w:jc w:val="center"/>
              <w:rPr>
                <w:rFonts w:ascii="Arial" w:hAnsi="Arial" w:cs="Arial"/>
              </w:rPr>
            </w:pPr>
            <w:r w:rsidRPr="0087786B">
              <w:rPr>
                <w:rFonts w:ascii="Arial" w:hAnsi="Arial" w:cs="Arial"/>
                <w:color w:val="000000"/>
              </w:rPr>
              <w:t>21.740.000,00 €</w:t>
            </w:r>
          </w:p>
        </w:tc>
      </w:tr>
      <w:tr w:rsidR="00B411FB" w:rsidRPr="008B28E9" w14:paraId="365FEDB9"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610E9885" w14:textId="77777777" w:rsidR="00B411FB" w:rsidRPr="008B28E9" w:rsidRDefault="00B411FB" w:rsidP="00B411FB">
            <w:pPr>
              <w:rPr>
                <w:rFonts w:ascii="Arial" w:hAnsi="Arial" w:cs="Arial"/>
              </w:rPr>
            </w:pPr>
            <w:r w:rsidRPr="008B28E9">
              <w:rPr>
                <w:rFonts w:ascii="Arial" w:hAnsi="Arial" w:cs="Arial"/>
              </w:rPr>
              <w:t>Galicia</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7FE0D9C" w14:textId="77777777" w:rsidR="00B411FB" w:rsidRPr="008B28E9" w:rsidRDefault="00B411FB" w:rsidP="00B411FB">
            <w:pPr>
              <w:jc w:val="center"/>
              <w:rPr>
                <w:rFonts w:ascii="Arial" w:hAnsi="Arial" w:cs="Arial"/>
              </w:rPr>
            </w:pPr>
            <w:r w:rsidRPr="008B28E9">
              <w:rPr>
                <w:rFonts w:ascii="Arial" w:hAnsi="Arial" w:cs="Arial"/>
                <w:color w:val="000000"/>
              </w:rPr>
              <w:t>21.235.000,00 €</w:t>
            </w:r>
          </w:p>
        </w:tc>
        <w:tc>
          <w:tcPr>
            <w:tcW w:w="2189" w:type="dxa"/>
            <w:tcBorders>
              <w:top w:val="nil"/>
              <w:left w:val="nil"/>
              <w:bottom w:val="single" w:sz="8" w:space="0" w:color="auto"/>
              <w:right w:val="single" w:sz="8" w:space="0" w:color="auto"/>
            </w:tcBorders>
            <w:vAlign w:val="bottom"/>
          </w:tcPr>
          <w:p w14:paraId="385CC907" w14:textId="77777777" w:rsidR="00B411FB" w:rsidRPr="0087786B" w:rsidRDefault="00B411FB" w:rsidP="00B411FB">
            <w:pPr>
              <w:jc w:val="center"/>
              <w:rPr>
                <w:rFonts w:ascii="Arial" w:hAnsi="Arial" w:cs="Arial"/>
              </w:rPr>
            </w:pPr>
            <w:r w:rsidRPr="0087786B">
              <w:rPr>
                <w:rFonts w:ascii="Arial" w:hAnsi="Arial" w:cs="Arial"/>
                <w:color w:val="000000"/>
              </w:rPr>
              <w:t>2.000.000,00 €</w:t>
            </w:r>
          </w:p>
        </w:tc>
        <w:tc>
          <w:tcPr>
            <w:tcW w:w="1632" w:type="dxa"/>
            <w:tcBorders>
              <w:top w:val="nil"/>
              <w:left w:val="nil"/>
              <w:bottom w:val="single" w:sz="8" w:space="0" w:color="auto"/>
              <w:right w:val="single" w:sz="8" w:space="0" w:color="auto"/>
            </w:tcBorders>
            <w:vAlign w:val="bottom"/>
          </w:tcPr>
          <w:p w14:paraId="5A98E397" w14:textId="77777777" w:rsidR="00B411FB" w:rsidRPr="0087786B" w:rsidRDefault="00B411FB" w:rsidP="00B411FB">
            <w:pPr>
              <w:jc w:val="center"/>
              <w:rPr>
                <w:rFonts w:ascii="Arial" w:hAnsi="Arial" w:cs="Arial"/>
              </w:rPr>
            </w:pPr>
            <w:r w:rsidRPr="0087786B">
              <w:rPr>
                <w:rFonts w:ascii="Arial" w:hAnsi="Arial" w:cs="Arial"/>
                <w:color w:val="000000"/>
              </w:rPr>
              <w:t>23.235.000,00 €</w:t>
            </w:r>
          </w:p>
        </w:tc>
      </w:tr>
      <w:tr w:rsidR="00B411FB" w:rsidRPr="008B28E9" w14:paraId="257D94C1"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192FB231" w14:textId="77777777" w:rsidR="00B411FB" w:rsidRPr="008B28E9" w:rsidRDefault="00B411FB" w:rsidP="00B411FB">
            <w:pPr>
              <w:rPr>
                <w:rFonts w:ascii="Arial" w:hAnsi="Arial" w:cs="Arial"/>
              </w:rPr>
            </w:pPr>
            <w:r w:rsidRPr="008B28E9">
              <w:rPr>
                <w:rFonts w:ascii="Arial" w:hAnsi="Arial" w:cs="Arial"/>
              </w:rPr>
              <w:t>Extremadura</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5D3CF6D" w14:textId="77777777" w:rsidR="00B411FB" w:rsidRPr="008B28E9" w:rsidRDefault="00B411FB" w:rsidP="00B411FB">
            <w:pPr>
              <w:jc w:val="center"/>
              <w:rPr>
                <w:rFonts w:ascii="Arial" w:hAnsi="Arial" w:cs="Arial"/>
              </w:rPr>
            </w:pPr>
            <w:r w:rsidRPr="008B28E9">
              <w:rPr>
                <w:rFonts w:ascii="Arial" w:hAnsi="Arial" w:cs="Arial"/>
                <w:color w:val="000000"/>
              </w:rPr>
              <w:t>19.522.000,00 €</w:t>
            </w:r>
          </w:p>
        </w:tc>
        <w:tc>
          <w:tcPr>
            <w:tcW w:w="2189" w:type="dxa"/>
            <w:tcBorders>
              <w:top w:val="nil"/>
              <w:left w:val="nil"/>
              <w:bottom w:val="single" w:sz="8" w:space="0" w:color="auto"/>
              <w:right w:val="single" w:sz="8" w:space="0" w:color="auto"/>
            </w:tcBorders>
            <w:vAlign w:val="bottom"/>
          </w:tcPr>
          <w:p w14:paraId="39C96955" w14:textId="77777777" w:rsidR="00B411FB" w:rsidRPr="0087786B" w:rsidRDefault="00B411FB" w:rsidP="00B411FB">
            <w:pPr>
              <w:jc w:val="center"/>
              <w:rPr>
                <w:rFonts w:ascii="Arial" w:hAnsi="Arial" w:cs="Arial"/>
              </w:rPr>
            </w:pPr>
            <w:r w:rsidRPr="0087786B">
              <w:rPr>
                <w:rFonts w:ascii="Arial" w:hAnsi="Arial" w:cs="Arial"/>
                <w:color w:val="000000"/>
              </w:rPr>
              <w:t>2.000.000,00 €</w:t>
            </w:r>
          </w:p>
        </w:tc>
        <w:tc>
          <w:tcPr>
            <w:tcW w:w="1632" w:type="dxa"/>
            <w:tcBorders>
              <w:top w:val="nil"/>
              <w:left w:val="nil"/>
              <w:bottom w:val="single" w:sz="8" w:space="0" w:color="auto"/>
              <w:right w:val="single" w:sz="8" w:space="0" w:color="auto"/>
            </w:tcBorders>
            <w:vAlign w:val="bottom"/>
          </w:tcPr>
          <w:p w14:paraId="7EDAA875" w14:textId="77777777" w:rsidR="00B411FB" w:rsidRPr="0087786B" w:rsidRDefault="00B411FB" w:rsidP="00B411FB">
            <w:pPr>
              <w:jc w:val="center"/>
              <w:rPr>
                <w:rFonts w:ascii="Arial" w:hAnsi="Arial" w:cs="Arial"/>
              </w:rPr>
            </w:pPr>
            <w:r w:rsidRPr="0087786B">
              <w:rPr>
                <w:rFonts w:ascii="Arial" w:hAnsi="Arial" w:cs="Arial"/>
                <w:color w:val="000000"/>
              </w:rPr>
              <w:t>21.522.000,00 €</w:t>
            </w:r>
          </w:p>
        </w:tc>
      </w:tr>
      <w:tr w:rsidR="00B411FB" w:rsidRPr="008B28E9" w14:paraId="6518CCE3"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5DC07A84" w14:textId="77777777" w:rsidR="00B411FB" w:rsidRPr="008B28E9" w:rsidRDefault="00B411FB" w:rsidP="00B411FB">
            <w:pPr>
              <w:rPr>
                <w:rFonts w:ascii="Arial" w:hAnsi="Arial" w:cs="Arial"/>
              </w:rPr>
            </w:pPr>
            <w:r w:rsidRPr="008B28E9">
              <w:rPr>
                <w:rFonts w:ascii="Arial" w:hAnsi="Arial" w:cs="Arial"/>
              </w:rPr>
              <w:t>País Vasco</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C2901F4" w14:textId="77777777" w:rsidR="00B411FB" w:rsidRPr="008B28E9" w:rsidRDefault="00B411FB" w:rsidP="00B411FB">
            <w:pPr>
              <w:jc w:val="center"/>
              <w:rPr>
                <w:rFonts w:ascii="Arial" w:hAnsi="Arial" w:cs="Arial"/>
              </w:rPr>
            </w:pPr>
            <w:r w:rsidRPr="008B28E9">
              <w:rPr>
                <w:rFonts w:ascii="Arial" w:hAnsi="Arial" w:cs="Arial"/>
                <w:color w:val="000000"/>
              </w:rPr>
              <w:t>17.450.000,00 €</w:t>
            </w:r>
          </w:p>
        </w:tc>
        <w:tc>
          <w:tcPr>
            <w:tcW w:w="2189" w:type="dxa"/>
            <w:tcBorders>
              <w:top w:val="nil"/>
              <w:left w:val="nil"/>
              <w:bottom w:val="single" w:sz="8" w:space="0" w:color="auto"/>
              <w:right w:val="single" w:sz="8" w:space="0" w:color="auto"/>
            </w:tcBorders>
            <w:vAlign w:val="bottom"/>
          </w:tcPr>
          <w:p w14:paraId="0C3CCBFB" w14:textId="77777777" w:rsidR="00B411FB" w:rsidRPr="0087786B" w:rsidRDefault="00B411FB" w:rsidP="00B411FB">
            <w:pPr>
              <w:jc w:val="center"/>
              <w:rPr>
                <w:rFonts w:ascii="Arial" w:hAnsi="Arial" w:cs="Arial"/>
              </w:rPr>
            </w:pPr>
            <w:r w:rsidRPr="0087786B">
              <w:rPr>
                <w:rFonts w:ascii="Arial" w:hAnsi="Arial" w:cs="Arial"/>
                <w:color w:val="000000"/>
              </w:rPr>
              <w:t>2.000.000,00 €</w:t>
            </w:r>
          </w:p>
        </w:tc>
        <w:tc>
          <w:tcPr>
            <w:tcW w:w="1632" w:type="dxa"/>
            <w:tcBorders>
              <w:top w:val="nil"/>
              <w:left w:val="nil"/>
              <w:bottom w:val="single" w:sz="8" w:space="0" w:color="auto"/>
              <w:right w:val="single" w:sz="8" w:space="0" w:color="auto"/>
            </w:tcBorders>
            <w:vAlign w:val="bottom"/>
          </w:tcPr>
          <w:p w14:paraId="136A0399" w14:textId="77777777" w:rsidR="00B411FB" w:rsidRPr="0087786B" w:rsidRDefault="00B411FB" w:rsidP="00B411FB">
            <w:pPr>
              <w:jc w:val="center"/>
              <w:rPr>
                <w:rFonts w:ascii="Arial" w:hAnsi="Arial" w:cs="Arial"/>
              </w:rPr>
            </w:pPr>
            <w:r w:rsidRPr="0087786B">
              <w:rPr>
                <w:rFonts w:ascii="Arial" w:hAnsi="Arial" w:cs="Arial"/>
                <w:color w:val="000000"/>
              </w:rPr>
              <w:t>19.450.000,00 €</w:t>
            </w:r>
          </w:p>
        </w:tc>
      </w:tr>
      <w:tr w:rsidR="00B411FB" w:rsidRPr="008B28E9" w14:paraId="24A806E2"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0379052C" w14:textId="77777777" w:rsidR="00B411FB" w:rsidRPr="008B28E9" w:rsidRDefault="00B411FB" w:rsidP="00B411FB">
            <w:pPr>
              <w:rPr>
                <w:rFonts w:ascii="Arial" w:hAnsi="Arial" w:cs="Arial"/>
              </w:rPr>
            </w:pPr>
            <w:r w:rsidRPr="008B28E9">
              <w:rPr>
                <w:rFonts w:ascii="Arial" w:hAnsi="Arial" w:cs="Arial"/>
              </w:rPr>
              <w:t>Asturias (Pr. de)</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4C82141" w14:textId="77777777" w:rsidR="00B411FB" w:rsidRPr="008B28E9" w:rsidRDefault="00B411FB" w:rsidP="00B411FB">
            <w:pPr>
              <w:jc w:val="center"/>
              <w:rPr>
                <w:rFonts w:ascii="Arial" w:hAnsi="Arial" w:cs="Arial"/>
              </w:rPr>
            </w:pPr>
            <w:r w:rsidRPr="008B28E9">
              <w:rPr>
                <w:rFonts w:ascii="Arial" w:hAnsi="Arial" w:cs="Arial"/>
                <w:color w:val="000000"/>
              </w:rPr>
              <w:t>16.520.000,00 €</w:t>
            </w:r>
          </w:p>
        </w:tc>
        <w:tc>
          <w:tcPr>
            <w:tcW w:w="2189" w:type="dxa"/>
            <w:tcBorders>
              <w:top w:val="nil"/>
              <w:left w:val="nil"/>
              <w:bottom w:val="single" w:sz="8" w:space="0" w:color="auto"/>
              <w:right w:val="single" w:sz="8" w:space="0" w:color="auto"/>
            </w:tcBorders>
            <w:vAlign w:val="bottom"/>
          </w:tcPr>
          <w:p w14:paraId="1CB0A444" w14:textId="77777777" w:rsidR="00B411FB" w:rsidRPr="0087786B" w:rsidRDefault="00B411FB" w:rsidP="00B411FB">
            <w:pPr>
              <w:jc w:val="center"/>
              <w:rPr>
                <w:rFonts w:ascii="Arial" w:hAnsi="Arial" w:cs="Arial"/>
              </w:rPr>
            </w:pPr>
            <w:r w:rsidRPr="0087786B">
              <w:rPr>
                <w:rFonts w:ascii="Arial" w:hAnsi="Arial" w:cs="Arial"/>
                <w:color w:val="000000"/>
              </w:rPr>
              <w:t>1.500.000,00 €</w:t>
            </w:r>
          </w:p>
        </w:tc>
        <w:tc>
          <w:tcPr>
            <w:tcW w:w="1632" w:type="dxa"/>
            <w:tcBorders>
              <w:top w:val="nil"/>
              <w:left w:val="nil"/>
              <w:bottom w:val="single" w:sz="8" w:space="0" w:color="auto"/>
              <w:right w:val="single" w:sz="8" w:space="0" w:color="auto"/>
            </w:tcBorders>
            <w:vAlign w:val="bottom"/>
          </w:tcPr>
          <w:p w14:paraId="3F9A7C86" w14:textId="77777777" w:rsidR="00B411FB" w:rsidRPr="0087786B" w:rsidRDefault="00B411FB" w:rsidP="00B411FB">
            <w:pPr>
              <w:jc w:val="center"/>
              <w:rPr>
                <w:rFonts w:ascii="Arial" w:hAnsi="Arial" w:cs="Arial"/>
              </w:rPr>
            </w:pPr>
            <w:r w:rsidRPr="0087786B">
              <w:rPr>
                <w:rFonts w:ascii="Arial" w:hAnsi="Arial" w:cs="Arial"/>
                <w:color w:val="000000"/>
              </w:rPr>
              <w:t>18.020.000,00 €</w:t>
            </w:r>
          </w:p>
        </w:tc>
      </w:tr>
      <w:tr w:rsidR="00B411FB" w:rsidRPr="008B28E9" w14:paraId="5E27ADB2"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5D1CDCA6" w14:textId="77777777" w:rsidR="00B411FB" w:rsidRPr="008B28E9" w:rsidRDefault="00B411FB" w:rsidP="00B411FB">
            <w:pPr>
              <w:rPr>
                <w:rFonts w:ascii="Arial" w:hAnsi="Arial" w:cs="Arial"/>
              </w:rPr>
            </w:pPr>
            <w:r w:rsidRPr="008B28E9">
              <w:rPr>
                <w:rFonts w:ascii="Arial" w:hAnsi="Arial" w:cs="Arial"/>
              </w:rPr>
              <w:t>Navarra (C. Foral de)</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749B043" w14:textId="77777777" w:rsidR="00B411FB" w:rsidRPr="008B28E9" w:rsidRDefault="00B411FB" w:rsidP="00B411FB">
            <w:pPr>
              <w:jc w:val="center"/>
              <w:rPr>
                <w:rFonts w:ascii="Arial" w:hAnsi="Arial" w:cs="Arial"/>
              </w:rPr>
            </w:pPr>
            <w:r w:rsidRPr="008B28E9">
              <w:rPr>
                <w:rFonts w:ascii="Arial" w:hAnsi="Arial" w:cs="Arial"/>
                <w:color w:val="000000"/>
              </w:rPr>
              <w:t>15.871.000,00 €</w:t>
            </w:r>
          </w:p>
        </w:tc>
        <w:tc>
          <w:tcPr>
            <w:tcW w:w="2189" w:type="dxa"/>
            <w:tcBorders>
              <w:top w:val="nil"/>
              <w:left w:val="nil"/>
              <w:bottom w:val="single" w:sz="8" w:space="0" w:color="auto"/>
              <w:right w:val="single" w:sz="8" w:space="0" w:color="auto"/>
            </w:tcBorders>
            <w:vAlign w:val="bottom"/>
          </w:tcPr>
          <w:p w14:paraId="20FBB9A8" w14:textId="77777777" w:rsidR="00B411FB" w:rsidRPr="0087786B" w:rsidRDefault="00B411FB" w:rsidP="00B411FB">
            <w:pPr>
              <w:jc w:val="center"/>
              <w:rPr>
                <w:rFonts w:ascii="Arial" w:hAnsi="Arial" w:cs="Arial"/>
              </w:rPr>
            </w:pPr>
            <w:r w:rsidRPr="0087786B">
              <w:rPr>
                <w:rFonts w:ascii="Arial" w:hAnsi="Arial" w:cs="Arial"/>
                <w:color w:val="000000"/>
              </w:rPr>
              <w:t>1.330.000,00 €</w:t>
            </w:r>
          </w:p>
        </w:tc>
        <w:tc>
          <w:tcPr>
            <w:tcW w:w="1632" w:type="dxa"/>
            <w:tcBorders>
              <w:top w:val="nil"/>
              <w:left w:val="nil"/>
              <w:bottom w:val="single" w:sz="8" w:space="0" w:color="auto"/>
              <w:right w:val="single" w:sz="8" w:space="0" w:color="auto"/>
            </w:tcBorders>
            <w:vAlign w:val="bottom"/>
          </w:tcPr>
          <w:p w14:paraId="740E2829" w14:textId="77777777" w:rsidR="00B411FB" w:rsidRPr="0087786B" w:rsidRDefault="00B411FB" w:rsidP="00B411FB">
            <w:pPr>
              <w:jc w:val="center"/>
              <w:rPr>
                <w:rFonts w:ascii="Arial" w:hAnsi="Arial" w:cs="Arial"/>
              </w:rPr>
            </w:pPr>
            <w:r w:rsidRPr="0087786B">
              <w:rPr>
                <w:rFonts w:ascii="Arial" w:hAnsi="Arial" w:cs="Arial"/>
                <w:color w:val="000000"/>
              </w:rPr>
              <w:t>17.201.000,00 €</w:t>
            </w:r>
          </w:p>
        </w:tc>
      </w:tr>
      <w:tr w:rsidR="00B411FB" w:rsidRPr="008B28E9" w14:paraId="75067FC4"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333F68CC" w14:textId="77777777" w:rsidR="00B411FB" w:rsidRPr="008B28E9" w:rsidRDefault="00B411FB" w:rsidP="00B411FB">
            <w:pPr>
              <w:rPr>
                <w:rFonts w:ascii="Arial" w:hAnsi="Arial" w:cs="Arial"/>
              </w:rPr>
            </w:pPr>
            <w:r w:rsidRPr="008B28E9">
              <w:rPr>
                <w:rFonts w:ascii="Arial" w:hAnsi="Arial" w:cs="Arial"/>
              </w:rPr>
              <w:t>Murcia (Región de)</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2A41980" w14:textId="77777777" w:rsidR="00B411FB" w:rsidRPr="008B28E9" w:rsidRDefault="00B411FB" w:rsidP="00B411FB">
            <w:pPr>
              <w:jc w:val="center"/>
              <w:rPr>
                <w:rFonts w:ascii="Arial" w:hAnsi="Arial" w:cs="Arial"/>
              </w:rPr>
            </w:pPr>
            <w:r w:rsidRPr="008B28E9">
              <w:rPr>
                <w:rFonts w:ascii="Arial" w:hAnsi="Arial" w:cs="Arial"/>
                <w:color w:val="000000"/>
              </w:rPr>
              <w:t>15.670.000,00 €</w:t>
            </w:r>
          </w:p>
        </w:tc>
        <w:tc>
          <w:tcPr>
            <w:tcW w:w="2189" w:type="dxa"/>
            <w:tcBorders>
              <w:top w:val="nil"/>
              <w:left w:val="nil"/>
              <w:bottom w:val="single" w:sz="8" w:space="0" w:color="auto"/>
              <w:right w:val="single" w:sz="8" w:space="0" w:color="auto"/>
            </w:tcBorders>
            <w:vAlign w:val="bottom"/>
          </w:tcPr>
          <w:p w14:paraId="0C73109B" w14:textId="77777777" w:rsidR="00B411FB" w:rsidRPr="0087786B" w:rsidRDefault="00B411FB" w:rsidP="00B411FB">
            <w:pPr>
              <w:jc w:val="center"/>
              <w:rPr>
                <w:rFonts w:ascii="Arial" w:hAnsi="Arial" w:cs="Arial"/>
              </w:rPr>
            </w:pPr>
            <w:r w:rsidRPr="0087786B">
              <w:rPr>
                <w:rFonts w:ascii="Arial" w:hAnsi="Arial" w:cs="Arial"/>
                <w:color w:val="000000"/>
              </w:rPr>
              <w:t>3.000.000,00 €</w:t>
            </w:r>
          </w:p>
        </w:tc>
        <w:tc>
          <w:tcPr>
            <w:tcW w:w="1632" w:type="dxa"/>
            <w:tcBorders>
              <w:top w:val="nil"/>
              <w:left w:val="nil"/>
              <w:bottom w:val="single" w:sz="8" w:space="0" w:color="auto"/>
              <w:right w:val="single" w:sz="8" w:space="0" w:color="auto"/>
            </w:tcBorders>
            <w:vAlign w:val="bottom"/>
          </w:tcPr>
          <w:p w14:paraId="3550BA44" w14:textId="77777777" w:rsidR="00B411FB" w:rsidRPr="0087786B" w:rsidRDefault="00B411FB" w:rsidP="00B411FB">
            <w:pPr>
              <w:jc w:val="center"/>
              <w:rPr>
                <w:rFonts w:ascii="Arial" w:hAnsi="Arial" w:cs="Arial"/>
              </w:rPr>
            </w:pPr>
            <w:r w:rsidRPr="0087786B">
              <w:rPr>
                <w:rFonts w:ascii="Arial" w:hAnsi="Arial" w:cs="Arial"/>
                <w:color w:val="000000"/>
              </w:rPr>
              <w:t>18.670.000,00 €</w:t>
            </w:r>
          </w:p>
        </w:tc>
      </w:tr>
      <w:tr w:rsidR="00B411FB" w:rsidRPr="008B28E9" w14:paraId="2E1F3A06" w14:textId="77777777" w:rsidTr="004D451B">
        <w:trPr>
          <w:trHeight w:val="317"/>
        </w:trPr>
        <w:tc>
          <w:tcPr>
            <w:tcW w:w="264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156083D5" w14:textId="77777777" w:rsidR="00B411FB" w:rsidRPr="008B28E9" w:rsidRDefault="00B411FB" w:rsidP="00B411FB">
            <w:pPr>
              <w:rPr>
                <w:rFonts w:ascii="Arial" w:hAnsi="Arial" w:cs="Arial"/>
              </w:rPr>
            </w:pPr>
            <w:r w:rsidRPr="008B28E9">
              <w:rPr>
                <w:rFonts w:ascii="Arial" w:hAnsi="Arial" w:cs="Arial"/>
              </w:rPr>
              <w:t>Cantabria</w:t>
            </w:r>
          </w:p>
        </w:tc>
        <w:tc>
          <w:tcPr>
            <w:tcW w:w="203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2AE3F26" w14:textId="77777777" w:rsidR="00B411FB" w:rsidRPr="008B28E9" w:rsidRDefault="00B411FB" w:rsidP="00B411FB">
            <w:pPr>
              <w:jc w:val="center"/>
              <w:rPr>
                <w:rFonts w:ascii="Arial" w:hAnsi="Arial" w:cs="Arial"/>
              </w:rPr>
            </w:pPr>
            <w:r w:rsidRPr="008B28E9">
              <w:rPr>
                <w:rFonts w:ascii="Arial" w:hAnsi="Arial" w:cs="Arial"/>
                <w:color w:val="000000"/>
              </w:rPr>
              <w:t>13.500.000,00 €</w:t>
            </w:r>
          </w:p>
        </w:tc>
        <w:tc>
          <w:tcPr>
            <w:tcW w:w="2189" w:type="dxa"/>
            <w:tcBorders>
              <w:top w:val="nil"/>
              <w:left w:val="nil"/>
              <w:bottom w:val="single" w:sz="8" w:space="0" w:color="auto"/>
              <w:right w:val="single" w:sz="8" w:space="0" w:color="auto"/>
            </w:tcBorders>
            <w:vAlign w:val="bottom"/>
          </w:tcPr>
          <w:p w14:paraId="61B95431" w14:textId="77777777" w:rsidR="00B411FB" w:rsidRPr="0087786B" w:rsidRDefault="00B411FB" w:rsidP="00B411FB">
            <w:pPr>
              <w:jc w:val="center"/>
              <w:rPr>
                <w:rFonts w:ascii="Arial" w:hAnsi="Arial" w:cs="Arial"/>
              </w:rPr>
            </w:pPr>
            <w:r w:rsidRPr="0087786B">
              <w:rPr>
                <w:rFonts w:ascii="Arial" w:hAnsi="Arial" w:cs="Arial"/>
                <w:color w:val="000000"/>
              </w:rPr>
              <w:t>0,00 €</w:t>
            </w:r>
          </w:p>
        </w:tc>
        <w:tc>
          <w:tcPr>
            <w:tcW w:w="1632" w:type="dxa"/>
            <w:tcBorders>
              <w:top w:val="nil"/>
              <w:left w:val="nil"/>
              <w:bottom w:val="single" w:sz="8" w:space="0" w:color="auto"/>
              <w:right w:val="single" w:sz="8" w:space="0" w:color="auto"/>
            </w:tcBorders>
            <w:vAlign w:val="bottom"/>
          </w:tcPr>
          <w:p w14:paraId="1DDFCF45" w14:textId="77777777" w:rsidR="00B411FB" w:rsidRPr="0087786B" w:rsidRDefault="00B411FB" w:rsidP="00B411FB">
            <w:pPr>
              <w:jc w:val="center"/>
              <w:rPr>
                <w:rFonts w:ascii="Arial" w:hAnsi="Arial" w:cs="Arial"/>
              </w:rPr>
            </w:pPr>
            <w:r w:rsidRPr="0087786B">
              <w:rPr>
                <w:rFonts w:ascii="Arial" w:hAnsi="Arial" w:cs="Arial"/>
                <w:color w:val="000000"/>
              </w:rPr>
              <w:t>13.500.000,00 €</w:t>
            </w:r>
          </w:p>
        </w:tc>
      </w:tr>
      <w:tr w:rsidR="00B411FB" w:rsidRPr="008B28E9" w14:paraId="32BD6DBD" w14:textId="77777777" w:rsidTr="004D451B">
        <w:trPr>
          <w:trHeight w:val="317"/>
        </w:trPr>
        <w:tc>
          <w:tcPr>
            <w:tcW w:w="264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7F01B53E" w14:textId="77777777" w:rsidR="00B411FB" w:rsidRPr="008B28E9" w:rsidRDefault="00B411FB" w:rsidP="00B411FB">
            <w:pPr>
              <w:rPr>
                <w:rFonts w:ascii="Arial" w:hAnsi="Arial" w:cs="Arial"/>
              </w:rPr>
            </w:pPr>
            <w:r w:rsidRPr="008B28E9">
              <w:rPr>
                <w:rFonts w:ascii="Arial" w:hAnsi="Arial" w:cs="Arial"/>
              </w:rPr>
              <w:t>Rioja (La)</w:t>
            </w:r>
          </w:p>
        </w:tc>
        <w:tc>
          <w:tcPr>
            <w:tcW w:w="203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F930D25" w14:textId="77777777" w:rsidR="00B411FB" w:rsidRPr="008B28E9" w:rsidRDefault="00B411FB" w:rsidP="00B411FB">
            <w:pPr>
              <w:jc w:val="center"/>
              <w:rPr>
                <w:rFonts w:ascii="Arial" w:hAnsi="Arial" w:cs="Arial"/>
              </w:rPr>
            </w:pPr>
            <w:r w:rsidRPr="008B28E9">
              <w:rPr>
                <w:rFonts w:ascii="Arial" w:hAnsi="Arial" w:cs="Arial"/>
                <w:color w:val="000000"/>
              </w:rPr>
              <w:t>13.330.000,00 €</w:t>
            </w:r>
          </w:p>
        </w:tc>
        <w:tc>
          <w:tcPr>
            <w:tcW w:w="2189" w:type="dxa"/>
            <w:tcBorders>
              <w:top w:val="single" w:sz="8" w:space="0" w:color="auto"/>
              <w:left w:val="nil"/>
              <w:bottom w:val="single" w:sz="8" w:space="0" w:color="auto"/>
              <w:right w:val="single" w:sz="8" w:space="0" w:color="auto"/>
            </w:tcBorders>
            <w:vAlign w:val="bottom"/>
          </w:tcPr>
          <w:p w14:paraId="476C4DEF" w14:textId="77777777" w:rsidR="00B411FB" w:rsidRPr="0087786B" w:rsidRDefault="00B411FB" w:rsidP="00B411FB">
            <w:pPr>
              <w:jc w:val="center"/>
              <w:rPr>
                <w:rFonts w:ascii="Arial" w:hAnsi="Arial" w:cs="Arial"/>
              </w:rPr>
            </w:pPr>
            <w:r w:rsidRPr="0087786B">
              <w:rPr>
                <w:rFonts w:ascii="Arial" w:hAnsi="Arial" w:cs="Arial"/>
                <w:color w:val="000000"/>
              </w:rPr>
              <w:t>0,00 €</w:t>
            </w:r>
          </w:p>
        </w:tc>
        <w:tc>
          <w:tcPr>
            <w:tcW w:w="1632" w:type="dxa"/>
            <w:tcBorders>
              <w:top w:val="single" w:sz="8" w:space="0" w:color="auto"/>
              <w:left w:val="nil"/>
              <w:bottom w:val="single" w:sz="8" w:space="0" w:color="auto"/>
              <w:right w:val="single" w:sz="8" w:space="0" w:color="auto"/>
            </w:tcBorders>
            <w:vAlign w:val="bottom"/>
          </w:tcPr>
          <w:p w14:paraId="20F6AFA7" w14:textId="77777777" w:rsidR="00B411FB" w:rsidRPr="0087786B" w:rsidRDefault="00B411FB" w:rsidP="00B411FB">
            <w:pPr>
              <w:jc w:val="center"/>
              <w:rPr>
                <w:rFonts w:ascii="Arial" w:hAnsi="Arial" w:cs="Arial"/>
              </w:rPr>
            </w:pPr>
            <w:r w:rsidRPr="0087786B">
              <w:rPr>
                <w:rFonts w:ascii="Arial" w:hAnsi="Arial" w:cs="Arial"/>
                <w:color w:val="000000"/>
              </w:rPr>
              <w:t>13.330.000,00 €</w:t>
            </w:r>
          </w:p>
        </w:tc>
      </w:tr>
      <w:tr w:rsidR="00B411FB" w:rsidRPr="008B28E9" w14:paraId="352D3C90" w14:textId="77777777" w:rsidTr="004D451B">
        <w:trPr>
          <w:trHeight w:val="317"/>
        </w:trPr>
        <w:tc>
          <w:tcPr>
            <w:tcW w:w="2644" w:type="dxa"/>
            <w:tcBorders>
              <w:top w:val="single" w:sz="8" w:space="0" w:color="auto"/>
              <w:left w:val="single" w:sz="8" w:space="0" w:color="auto"/>
              <w:bottom w:val="single" w:sz="4" w:space="0" w:color="auto"/>
              <w:right w:val="single" w:sz="8" w:space="0" w:color="auto"/>
            </w:tcBorders>
            <w:shd w:val="clear" w:color="auto" w:fill="auto"/>
            <w:noWrap/>
            <w:tcMar>
              <w:top w:w="0" w:type="dxa"/>
              <w:left w:w="70" w:type="dxa"/>
              <w:bottom w:w="0" w:type="dxa"/>
              <w:right w:w="70" w:type="dxa"/>
            </w:tcMar>
            <w:vAlign w:val="center"/>
            <w:hideMark/>
          </w:tcPr>
          <w:p w14:paraId="2827BDDC" w14:textId="77777777" w:rsidR="00B411FB" w:rsidRPr="008B28E9" w:rsidRDefault="00B411FB" w:rsidP="00B411FB">
            <w:pPr>
              <w:rPr>
                <w:rFonts w:ascii="Arial" w:hAnsi="Arial" w:cs="Arial"/>
                <w:b/>
                <w:bCs/>
              </w:rPr>
            </w:pPr>
            <w:r w:rsidRPr="008B28E9">
              <w:rPr>
                <w:rFonts w:ascii="Arial" w:hAnsi="Arial" w:cs="Arial"/>
                <w:b/>
                <w:bCs/>
              </w:rPr>
              <w:t>TOTAL</w:t>
            </w:r>
          </w:p>
        </w:tc>
        <w:tc>
          <w:tcPr>
            <w:tcW w:w="2030" w:type="dxa"/>
            <w:tcBorders>
              <w:top w:val="single" w:sz="8" w:space="0" w:color="auto"/>
              <w:left w:val="nil"/>
              <w:bottom w:val="single" w:sz="4" w:space="0" w:color="auto"/>
              <w:right w:val="single" w:sz="8" w:space="0" w:color="auto"/>
            </w:tcBorders>
            <w:shd w:val="clear" w:color="auto" w:fill="auto"/>
            <w:noWrap/>
            <w:tcMar>
              <w:top w:w="0" w:type="dxa"/>
              <w:left w:w="70" w:type="dxa"/>
              <w:bottom w:w="0" w:type="dxa"/>
              <w:right w:w="70" w:type="dxa"/>
            </w:tcMar>
            <w:vAlign w:val="bottom"/>
            <w:hideMark/>
          </w:tcPr>
          <w:p w14:paraId="17AB5E5E" w14:textId="77777777" w:rsidR="00B411FB" w:rsidRPr="008B28E9" w:rsidRDefault="00B411FB" w:rsidP="00B411FB">
            <w:pPr>
              <w:jc w:val="center"/>
              <w:rPr>
                <w:rFonts w:ascii="Arial" w:hAnsi="Arial" w:cs="Arial"/>
                <w:b/>
                <w:bCs/>
              </w:rPr>
            </w:pPr>
            <w:r w:rsidRPr="008B28E9">
              <w:rPr>
                <w:rFonts w:ascii="Arial" w:hAnsi="Arial" w:cs="Arial"/>
                <w:b/>
                <w:bCs/>
                <w:color w:val="000000"/>
              </w:rPr>
              <w:t>444.500.000,00 €</w:t>
            </w:r>
          </w:p>
        </w:tc>
        <w:tc>
          <w:tcPr>
            <w:tcW w:w="2189" w:type="dxa"/>
            <w:tcBorders>
              <w:top w:val="single" w:sz="8" w:space="0" w:color="auto"/>
              <w:left w:val="nil"/>
              <w:bottom w:val="single" w:sz="4" w:space="0" w:color="auto"/>
              <w:right w:val="single" w:sz="8" w:space="0" w:color="auto"/>
            </w:tcBorders>
            <w:vAlign w:val="bottom"/>
          </w:tcPr>
          <w:p w14:paraId="244FED87" w14:textId="77777777" w:rsidR="00B411FB" w:rsidRPr="0087786B" w:rsidRDefault="00B411FB" w:rsidP="00B411FB">
            <w:pPr>
              <w:jc w:val="center"/>
              <w:rPr>
                <w:rFonts w:ascii="Arial" w:hAnsi="Arial" w:cs="Arial"/>
                <w:b/>
                <w:bCs/>
              </w:rPr>
            </w:pPr>
            <w:r w:rsidRPr="0087786B">
              <w:rPr>
                <w:rFonts w:ascii="Arial" w:hAnsi="Arial" w:cs="Arial"/>
                <w:b/>
                <w:bCs/>
                <w:color w:val="000000"/>
              </w:rPr>
              <w:t>33.500.000,00 €</w:t>
            </w:r>
          </w:p>
        </w:tc>
        <w:tc>
          <w:tcPr>
            <w:tcW w:w="1632" w:type="dxa"/>
            <w:tcBorders>
              <w:top w:val="single" w:sz="8" w:space="0" w:color="auto"/>
              <w:left w:val="nil"/>
              <w:bottom w:val="single" w:sz="4" w:space="0" w:color="auto"/>
              <w:right w:val="single" w:sz="8" w:space="0" w:color="auto"/>
            </w:tcBorders>
            <w:vAlign w:val="bottom"/>
          </w:tcPr>
          <w:p w14:paraId="2958226B" w14:textId="77777777" w:rsidR="00B411FB" w:rsidRPr="0087786B" w:rsidRDefault="00B411FB" w:rsidP="00B411FB">
            <w:pPr>
              <w:jc w:val="center"/>
              <w:rPr>
                <w:rFonts w:ascii="Arial" w:hAnsi="Arial" w:cs="Arial"/>
                <w:b/>
                <w:bCs/>
              </w:rPr>
            </w:pPr>
            <w:r w:rsidRPr="0087786B">
              <w:rPr>
                <w:rFonts w:ascii="Arial" w:hAnsi="Arial" w:cs="Arial"/>
                <w:b/>
                <w:bCs/>
                <w:color w:val="000000"/>
              </w:rPr>
              <w:t>478.000.000,00 €</w:t>
            </w:r>
          </w:p>
        </w:tc>
      </w:tr>
    </w:tbl>
    <w:p w14:paraId="02E25144" w14:textId="508008EF" w:rsidR="00B411FB" w:rsidRDefault="00B411FB" w:rsidP="001F1509">
      <w:pPr>
        <w:rPr>
          <w:rFonts w:ascii="Arial" w:hAnsi="Arial" w:cs="Arial"/>
          <w:sz w:val="22"/>
          <w:szCs w:val="22"/>
        </w:rPr>
      </w:pPr>
    </w:p>
    <w:p w14:paraId="5AE3A70B" w14:textId="02DB4456" w:rsidR="00B411FB" w:rsidRDefault="00B411FB" w:rsidP="001F1509">
      <w:pPr>
        <w:rPr>
          <w:rFonts w:ascii="Arial" w:hAnsi="Arial" w:cs="Arial"/>
          <w:sz w:val="22"/>
          <w:szCs w:val="22"/>
        </w:rPr>
      </w:pPr>
    </w:p>
    <w:p w14:paraId="6F8701B1" w14:textId="2F09A3A5" w:rsidR="001F1509" w:rsidRDefault="00DD3807" w:rsidP="00B60F7C">
      <w:pPr>
        <w:tabs>
          <w:tab w:val="left" w:pos="426"/>
        </w:tabs>
        <w:spacing w:line="276" w:lineRule="auto"/>
        <w:jc w:val="both"/>
        <w:rPr>
          <w:rFonts w:ascii="Arial" w:eastAsiaTheme="minorHAnsi" w:hAnsi="Arial" w:cs="Arial"/>
          <w:b/>
          <w:bCs/>
          <w:sz w:val="18"/>
          <w:szCs w:val="18"/>
          <w:lang w:val="es-ES" w:eastAsia="en-US"/>
        </w:rPr>
      </w:pPr>
      <w:r w:rsidRPr="00C1706B">
        <w:rPr>
          <w:rFonts w:ascii="Arial" w:eastAsiaTheme="minorHAnsi" w:hAnsi="Arial" w:cs="Arial"/>
          <w:b/>
          <w:bCs/>
          <w:sz w:val="18"/>
          <w:szCs w:val="18"/>
          <w:lang w:val="es-ES" w:eastAsia="en-US"/>
        </w:rPr>
        <w:t xml:space="preserve">Tabla 1. Reparto de </w:t>
      </w:r>
      <w:r w:rsidR="00B411FB">
        <w:rPr>
          <w:rFonts w:ascii="Arial" w:eastAsiaTheme="minorHAnsi" w:hAnsi="Arial" w:cs="Arial"/>
          <w:b/>
          <w:bCs/>
          <w:sz w:val="18"/>
          <w:szCs w:val="18"/>
          <w:lang w:val="es-ES" w:eastAsia="en-US"/>
        </w:rPr>
        <w:t>478.000</w:t>
      </w:r>
      <w:r w:rsidR="002412FC">
        <w:rPr>
          <w:rFonts w:ascii="Arial" w:eastAsiaTheme="minorHAnsi" w:hAnsi="Arial" w:cs="Arial"/>
          <w:b/>
          <w:bCs/>
          <w:sz w:val="18"/>
          <w:szCs w:val="18"/>
          <w:lang w:val="es-ES" w:eastAsia="en-US"/>
        </w:rPr>
        <w:t xml:space="preserve">.000 </w:t>
      </w:r>
      <w:r w:rsidR="00DD0FB4" w:rsidRPr="00DD0FB4">
        <w:rPr>
          <w:rFonts w:ascii="Arial" w:eastAsiaTheme="minorHAnsi" w:hAnsi="Arial" w:cs="Arial"/>
          <w:b/>
          <w:bCs/>
          <w:sz w:val="18"/>
          <w:szCs w:val="18"/>
          <w:lang w:val="es-ES" w:eastAsia="en-US"/>
        </w:rPr>
        <w:t xml:space="preserve"> </w:t>
      </w:r>
      <w:r w:rsidRPr="00C1706B">
        <w:rPr>
          <w:rFonts w:ascii="Arial" w:eastAsiaTheme="minorHAnsi" w:hAnsi="Arial" w:cs="Arial"/>
          <w:b/>
          <w:bCs/>
          <w:sz w:val="18"/>
          <w:szCs w:val="18"/>
          <w:lang w:val="es-ES" w:eastAsia="en-US"/>
        </w:rPr>
        <w:t>euros por comunidad autónoma</w:t>
      </w:r>
    </w:p>
    <w:p w14:paraId="58069883" w14:textId="5CAC9A01" w:rsidR="00980F4D" w:rsidRDefault="00980F4D" w:rsidP="00B60F7C">
      <w:pPr>
        <w:tabs>
          <w:tab w:val="left" w:pos="426"/>
        </w:tabs>
        <w:spacing w:line="276" w:lineRule="auto"/>
        <w:jc w:val="both"/>
        <w:rPr>
          <w:rFonts w:ascii="Arial" w:eastAsiaTheme="minorHAnsi" w:hAnsi="Arial" w:cs="Arial"/>
          <w:b/>
          <w:bCs/>
          <w:sz w:val="18"/>
          <w:szCs w:val="18"/>
          <w:lang w:val="es-ES" w:eastAsia="en-US"/>
        </w:rPr>
      </w:pPr>
    </w:p>
    <w:p w14:paraId="58FB885E" w14:textId="77777777" w:rsidR="00980F4D" w:rsidRPr="00C1706B" w:rsidRDefault="00980F4D" w:rsidP="00B60F7C">
      <w:pPr>
        <w:tabs>
          <w:tab w:val="left" w:pos="426"/>
        </w:tabs>
        <w:spacing w:line="276" w:lineRule="auto"/>
        <w:jc w:val="both"/>
        <w:rPr>
          <w:rFonts w:ascii="Arial" w:eastAsiaTheme="minorHAnsi" w:hAnsi="Arial" w:cs="Arial"/>
          <w:b/>
          <w:bCs/>
          <w:sz w:val="18"/>
          <w:szCs w:val="18"/>
          <w:lang w:val="es-ES" w:eastAsia="en-US"/>
        </w:rPr>
      </w:pPr>
    </w:p>
    <w:p w14:paraId="7237C172" w14:textId="0A41EBF2" w:rsidR="00C1706B" w:rsidRDefault="00C1706B" w:rsidP="00D227DF">
      <w:pPr>
        <w:tabs>
          <w:tab w:val="left" w:pos="426"/>
        </w:tabs>
        <w:spacing w:line="276" w:lineRule="auto"/>
        <w:jc w:val="both"/>
        <w:rPr>
          <w:rFonts w:ascii="Arial" w:eastAsiaTheme="minorHAnsi" w:hAnsi="Arial" w:cs="Arial"/>
          <w:b/>
          <w:bCs/>
          <w:sz w:val="18"/>
          <w:szCs w:val="18"/>
          <w:lang w:val="es-ES" w:eastAsia="en-US"/>
        </w:rPr>
      </w:pPr>
    </w:p>
    <w:tbl>
      <w:tblPr>
        <w:tblStyle w:val="Tablaconcuadrcula"/>
        <w:tblW w:w="0" w:type="auto"/>
        <w:tblLook w:val="04A0" w:firstRow="1" w:lastRow="0" w:firstColumn="1" w:lastColumn="0" w:noHBand="0" w:noVBand="1"/>
      </w:tblPr>
      <w:tblGrid>
        <w:gridCol w:w="1361"/>
        <w:gridCol w:w="2479"/>
        <w:gridCol w:w="3101"/>
        <w:gridCol w:w="1553"/>
      </w:tblGrid>
      <w:tr w:rsidR="0087786B" w:rsidRPr="0087786B" w14:paraId="68CA0159" w14:textId="77777777" w:rsidTr="00416682">
        <w:trPr>
          <w:trHeight w:val="525"/>
        </w:trPr>
        <w:tc>
          <w:tcPr>
            <w:tcW w:w="1361" w:type="dxa"/>
            <w:noWrap/>
            <w:hideMark/>
          </w:tcPr>
          <w:p w14:paraId="16EBE04B" w14:textId="77777777" w:rsidR="0087786B" w:rsidRPr="0087786B" w:rsidRDefault="0087786B" w:rsidP="0087786B">
            <w:pPr>
              <w:tabs>
                <w:tab w:val="left" w:pos="426"/>
              </w:tabs>
              <w:spacing w:line="276" w:lineRule="auto"/>
              <w:jc w:val="both"/>
              <w:rPr>
                <w:rFonts w:ascii="Arial" w:eastAsiaTheme="minorHAnsi" w:hAnsi="Arial" w:cs="Arial"/>
                <w:b/>
                <w:bCs/>
                <w:lang w:val="es-ES" w:eastAsia="en-US"/>
              </w:rPr>
            </w:pPr>
            <w:r w:rsidRPr="0087786B">
              <w:rPr>
                <w:rFonts w:ascii="Arial" w:eastAsiaTheme="minorHAnsi" w:hAnsi="Arial" w:cs="Arial"/>
                <w:b/>
                <w:bCs/>
                <w:lang w:eastAsia="en-US"/>
              </w:rPr>
              <w:t>Comunidad Autónoma</w:t>
            </w:r>
          </w:p>
        </w:tc>
        <w:tc>
          <w:tcPr>
            <w:tcW w:w="2479" w:type="dxa"/>
            <w:noWrap/>
            <w:hideMark/>
          </w:tcPr>
          <w:p w14:paraId="72085477" w14:textId="77777777" w:rsidR="0087786B" w:rsidRPr="0087786B" w:rsidRDefault="0087786B" w:rsidP="0087786B">
            <w:pPr>
              <w:tabs>
                <w:tab w:val="left" w:pos="426"/>
              </w:tabs>
              <w:spacing w:line="276" w:lineRule="auto"/>
              <w:jc w:val="both"/>
              <w:rPr>
                <w:rFonts w:ascii="Arial" w:eastAsiaTheme="minorHAnsi" w:hAnsi="Arial" w:cs="Arial"/>
                <w:b/>
                <w:bCs/>
                <w:lang w:eastAsia="en-US"/>
              </w:rPr>
            </w:pPr>
            <w:r w:rsidRPr="0087786B">
              <w:rPr>
                <w:rFonts w:ascii="Arial" w:eastAsiaTheme="minorHAnsi" w:hAnsi="Arial" w:cs="Arial"/>
                <w:b/>
                <w:bCs/>
                <w:lang w:eastAsia="en-US"/>
              </w:rPr>
              <w:t>Nombre Entidad</w:t>
            </w:r>
          </w:p>
        </w:tc>
        <w:tc>
          <w:tcPr>
            <w:tcW w:w="3101" w:type="dxa"/>
            <w:hideMark/>
          </w:tcPr>
          <w:p w14:paraId="449D546A" w14:textId="659AE620" w:rsidR="0087786B" w:rsidRPr="0087786B" w:rsidRDefault="0087786B" w:rsidP="0087786B">
            <w:pPr>
              <w:tabs>
                <w:tab w:val="left" w:pos="426"/>
              </w:tabs>
              <w:spacing w:line="276" w:lineRule="auto"/>
              <w:jc w:val="both"/>
              <w:rPr>
                <w:rFonts w:ascii="Arial" w:eastAsiaTheme="minorHAnsi" w:hAnsi="Arial" w:cs="Arial"/>
                <w:b/>
                <w:bCs/>
                <w:lang w:eastAsia="en-US"/>
              </w:rPr>
            </w:pPr>
            <w:r w:rsidRPr="0087786B">
              <w:rPr>
                <w:rFonts w:ascii="Arial" w:eastAsiaTheme="minorHAnsi" w:hAnsi="Arial" w:cs="Arial"/>
                <w:b/>
                <w:bCs/>
                <w:lang w:eastAsia="en-US"/>
              </w:rPr>
              <w:t>Denominación de la intervención</w:t>
            </w:r>
          </w:p>
        </w:tc>
        <w:tc>
          <w:tcPr>
            <w:tcW w:w="1553" w:type="dxa"/>
            <w:noWrap/>
            <w:hideMark/>
          </w:tcPr>
          <w:p w14:paraId="62BC31A9" w14:textId="77777777" w:rsidR="0087786B" w:rsidRPr="0087786B" w:rsidRDefault="0087786B" w:rsidP="0087786B">
            <w:pPr>
              <w:tabs>
                <w:tab w:val="left" w:pos="426"/>
              </w:tabs>
              <w:spacing w:line="276" w:lineRule="auto"/>
              <w:jc w:val="both"/>
              <w:rPr>
                <w:rFonts w:ascii="Arial" w:eastAsiaTheme="minorHAnsi" w:hAnsi="Arial" w:cs="Arial"/>
                <w:b/>
                <w:bCs/>
                <w:lang w:eastAsia="en-US"/>
              </w:rPr>
            </w:pPr>
            <w:r w:rsidRPr="0087786B">
              <w:rPr>
                <w:rFonts w:ascii="Arial" w:eastAsiaTheme="minorHAnsi" w:hAnsi="Arial" w:cs="Arial"/>
                <w:b/>
                <w:bCs/>
                <w:lang w:eastAsia="en-US"/>
              </w:rPr>
              <w:t>Pto. concedido</w:t>
            </w:r>
          </w:p>
        </w:tc>
      </w:tr>
      <w:tr w:rsidR="0087786B" w:rsidRPr="0087786B" w14:paraId="62D782D0" w14:textId="77777777" w:rsidTr="00416682">
        <w:trPr>
          <w:trHeight w:val="525"/>
        </w:trPr>
        <w:tc>
          <w:tcPr>
            <w:tcW w:w="1361" w:type="dxa"/>
            <w:noWrap/>
            <w:hideMark/>
          </w:tcPr>
          <w:p w14:paraId="28A2B52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050D9D9A"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Macael</w:t>
            </w:r>
          </w:p>
        </w:tc>
        <w:tc>
          <w:tcPr>
            <w:tcW w:w="3101" w:type="dxa"/>
            <w:hideMark/>
          </w:tcPr>
          <w:p w14:paraId="7663C20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Creación del Parque Minero de Macael</w:t>
            </w:r>
          </w:p>
        </w:tc>
        <w:tc>
          <w:tcPr>
            <w:tcW w:w="1553" w:type="dxa"/>
            <w:noWrap/>
            <w:hideMark/>
          </w:tcPr>
          <w:p w14:paraId="6C17A9BC"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2CD5126E" w14:textId="77777777" w:rsidTr="00416682">
        <w:trPr>
          <w:trHeight w:val="780"/>
        </w:trPr>
        <w:tc>
          <w:tcPr>
            <w:tcW w:w="1361" w:type="dxa"/>
            <w:noWrap/>
            <w:hideMark/>
          </w:tcPr>
          <w:p w14:paraId="00C24699"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381B17AD" w14:textId="59F6B15C" w:rsidR="0087786B" w:rsidRPr="0087786B" w:rsidRDefault="0087786B"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M</w:t>
            </w:r>
            <w:r w:rsidR="00D53AE5">
              <w:rPr>
                <w:rFonts w:ascii="Arial" w:eastAsiaTheme="minorHAnsi" w:hAnsi="Arial" w:cs="Arial"/>
                <w:bCs/>
                <w:lang w:eastAsia="en-US"/>
              </w:rPr>
              <w:t>ojá</w:t>
            </w:r>
            <w:r w:rsidRPr="0087786B">
              <w:rPr>
                <w:rFonts w:ascii="Arial" w:eastAsiaTheme="minorHAnsi" w:hAnsi="Arial" w:cs="Arial"/>
                <w:bCs/>
                <w:lang w:eastAsia="en-US"/>
              </w:rPr>
              <w:t>car</w:t>
            </w:r>
          </w:p>
        </w:tc>
        <w:tc>
          <w:tcPr>
            <w:tcW w:w="3101" w:type="dxa"/>
            <w:hideMark/>
          </w:tcPr>
          <w:p w14:paraId="02681541" w14:textId="6C9EDA5E"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w:t>
            </w:r>
            <w:r>
              <w:rPr>
                <w:rFonts w:ascii="Arial" w:eastAsiaTheme="minorHAnsi" w:hAnsi="Arial" w:cs="Arial"/>
                <w:bCs/>
                <w:lang w:eastAsia="en-US"/>
              </w:rPr>
              <w:t>ilidad turistica en destino de M</w:t>
            </w:r>
            <w:r w:rsidR="00D53AE5">
              <w:rPr>
                <w:rFonts w:ascii="Arial" w:eastAsiaTheme="minorHAnsi" w:hAnsi="Arial" w:cs="Arial"/>
                <w:bCs/>
                <w:lang w:eastAsia="en-US"/>
              </w:rPr>
              <w:t>ojá</w:t>
            </w:r>
            <w:r w:rsidRPr="0087786B">
              <w:rPr>
                <w:rFonts w:ascii="Arial" w:eastAsiaTheme="minorHAnsi" w:hAnsi="Arial" w:cs="Arial"/>
                <w:bCs/>
                <w:lang w:eastAsia="en-US"/>
              </w:rPr>
              <w:t>car</w:t>
            </w:r>
          </w:p>
        </w:tc>
        <w:tc>
          <w:tcPr>
            <w:tcW w:w="1553" w:type="dxa"/>
            <w:noWrap/>
            <w:hideMark/>
          </w:tcPr>
          <w:p w14:paraId="6E040F8A"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4.500.000,00 €</w:t>
            </w:r>
          </w:p>
        </w:tc>
      </w:tr>
      <w:tr w:rsidR="0087786B" w:rsidRPr="0087786B" w14:paraId="13A014E5" w14:textId="77777777" w:rsidTr="00416682">
        <w:trPr>
          <w:trHeight w:val="882"/>
        </w:trPr>
        <w:tc>
          <w:tcPr>
            <w:tcW w:w="1361" w:type="dxa"/>
            <w:noWrap/>
            <w:hideMark/>
          </w:tcPr>
          <w:p w14:paraId="0530C2B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3AAB3F53" w14:textId="4FE3DC83"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w:t>
            </w:r>
            <w:r>
              <w:rPr>
                <w:rFonts w:ascii="Arial" w:eastAsiaTheme="minorHAnsi" w:hAnsi="Arial" w:cs="Arial"/>
                <w:bCs/>
                <w:lang w:eastAsia="en-US"/>
              </w:rPr>
              <w:t xml:space="preserve"> provincial de A</w:t>
            </w:r>
            <w:r w:rsidRPr="0087786B">
              <w:rPr>
                <w:rFonts w:ascii="Arial" w:eastAsiaTheme="minorHAnsi" w:hAnsi="Arial" w:cs="Arial"/>
                <w:bCs/>
                <w:lang w:eastAsia="en-US"/>
              </w:rPr>
              <w:t>lmeria</w:t>
            </w:r>
          </w:p>
        </w:tc>
        <w:tc>
          <w:tcPr>
            <w:tcW w:w="3101" w:type="dxa"/>
            <w:hideMark/>
          </w:tcPr>
          <w:p w14:paraId="56A92041" w14:textId="4B4CF71D"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Pstd- red de recursos de tur</w:t>
            </w:r>
            <w:r>
              <w:rPr>
                <w:rFonts w:ascii="Arial" w:eastAsiaTheme="minorHAnsi" w:hAnsi="Arial" w:cs="Arial"/>
                <w:bCs/>
                <w:lang w:eastAsia="en-US"/>
              </w:rPr>
              <w:t>ismo activo de la provincia de A</w:t>
            </w:r>
            <w:r w:rsidRPr="0087786B">
              <w:rPr>
                <w:rFonts w:ascii="Arial" w:eastAsiaTheme="minorHAnsi" w:hAnsi="Arial" w:cs="Arial"/>
                <w:bCs/>
                <w:lang w:eastAsia="en-US"/>
              </w:rPr>
              <w:t>lmeria - retural</w:t>
            </w:r>
          </w:p>
        </w:tc>
        <w:tc>
          <w:tcPr>
            <w:tcW w:w="1553" w:type="dxa"/>
            <w:noWrap/>
            <w:hideMark/>
          </w:tcPr>
          <w:p w14:paraId="314733EF"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3.000.000,00 €</w:t>
            </w:r>
          </w:p>
        </w:tc>
      </w:tr>
      <w:tr w:rsidR="0087786B" w:rsidRPr="0087786B" w14:paraId="6D93B513" w14:textId="77777777" w:rsidTr="00416682">
        <w:trPr>
          <w:trHeight w:val="525"/>
        </w:trPr>
        <w:tc>
          <w:tcPr>
            <w:tcW w:w="1361" w:type="dxa"/>
            <w:noWrap/>
            <w:hideMark/>
          </w:tcPr>
          <w:p w14:paraId="7F4E4A1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797D3755" w14:textId="0590594A" w:rsidR="0087786B" w:rsidRPr="0087786B" w:rsidRDefault="0087786B" w:rsidP="00D53AE5">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Ayuntam</w:t>
            </w:r>
            <w:r w:rsidR="00D53AE5">
              <w:rPr>
                <w:rFonts w:ascii="Arial" w:eastAsiaTheme="minorHAnsi" w:hAnsi="Arial" w:cs="Arial"/>
                <w:bCs/>
                <w:lang w:eastAsia="en-US"/>
              </w:rPr>
              <w:t>iento de A</w:t>
            </w:r>
            <w:r w:rsidRPr="0087786B">
              <w:rPr>
                <w:rFonts w:ascii="Arial" w:eastAsiaTheme="minorHAnsi" w:hAnsi="Arial" w:cs="Arial"/>
                <w:bCs/>
                <w:lang w:eastAsia="en-US"/>
              </w:rPr>
              <w:t>lgeciras</w:t>
            </w:r>
          </w:p>
        </w:tc>
        <w:tc>
          <w:tcPr>
            <w:tcW w:w="3101" w:type="dxa"/>
            <w:hideMark/>
          </w:tcPr>
          <w:p w14:paraId="53C0B622" w14:textId="394F020D"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Algeciras entre dos aguas</w:t>
            </w:r>
          </w:p>
        </w:tc>
        <w:tc>
          <w:tcPr>
            <w:tcW w:w="1553" w:type="dxa"/>
            <w:noWrap/>
            <w:hideMark/>
          </w:tcPr>
          <w:p w14:paraId="231812B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3.000.000,00 €</w:t>
            </w:r>
          </w:p>
        </w:tc>
      </w:tr>
      <w:tr w:rsidR="0087786B" w:rsidRPr="0087786B" w14:paraId="77D7427B" w14:textId="77777777" w:rsidTr="00416682">
        <w:trPr>
          <w:trHeight w:val="780"/>
        </w:trPr>
        <w:tc>
          <w:tcPr>
            <w:tcW w:w="1361" w:type="dxa"/>
            <w:noWrap/>
            <w:hideMark/>
          </w:tcPr>
          <w:p w14:paraId="569680A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66D17B86" w14:textId="7B3C868D" w:rsidR="0087786B" w:rsidRPr="0087786B" w:rsidRDefault="00D53AE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Cá</w:t>
            </w:r>
            <w:r w:rsidRPr="0087786B">
              <w:rPr>
                <w:rFonts w:ascii="Arial" w:eastAsiaTheme="minorHAnsi" w:hAnsi="Arial" w:cs="Arial"/>
                <w:bCs/>
                <w:lang w:eastAsia="en-US"/>
              </w:rPr>
              <w:t>diz</w:t>
            </w:r>
          </w:p>
        </w:tc>
        <w:tc>
          <w:tcPr>
            <w:tcW w:w="3101" w:type="dxa"/>
            <w:hideMark/>
          </w:tcPr>
          <w:p w14:paraId="0D7CB81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PSTD "Cadiz hacia un modelo de Turismo Sostenible 2023 - 2025"</w:t>
            </w:r>
          </w:p>
        </w:tc>
        <w:tc>
          <w:tcPr>
            <w:tcW w:w="1553" w:type="dxa"/>
            <w:noWrap/>
            <w:hideMark/>
          </w:tcPr>
          <w:p w14:paraId="04B03B15"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3.000.000,00 €</w:t>
            </w:r>
          </w:p>
        </w:tc>
      </w:tr>
      <w:tr w:rsidR="0087786B" w:rsidRPr="0087786B" w14:paraId="134E4039" w14:textId="77777777" w:rsidTr="00416682">
        <w:trPr>
          <w:trHeight w:val="525"/>
        </w:trPr>
        <w:tc>
          <w:tcPr>
            <w:tcW w:w="1361" w:type="dxa"/>
            <w:noWrap/>
            <w:hideMark/>
          </w:tcPr>
          <w:p w14:paraId="181E6F2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629C1359" w14:textId="0B0181C4" w:rsidR="0087786B" w:rsidRPr="0087786B" w:rsidRDefault="00D53AE5" w:rsidP="00D53AE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Grazalema</w:t>
            </w:r>
          </w:p>
        </w:tc>
        <w:tc>
          <w:tcPr>
            <w:tcW w:w="3101" w:type="dxa"/>
            <w:hideMark/>
          </w:tcPr>
          <w:p w14:paraId="189F1CC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de Grazalema</w:t>
            </w:r>
          </w:p>
        </w:tc>
        <w:tc>
          <w:tcPr>
            <w:tcW w:w="1553" w:type="dxa"/>
            <w:noWrap/>
            <w:hideMark/>
          </w:tcPr>
          <w:p w14:paraId="2B205AF5"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1.000.000,00 €</w:t>
            </w:r>
          </w:p>
        </w:tc>
      </w:tr>
      <w:tr w:rsidR="0087786B" w:rsidRPr="0087786B" w14:paraId="16BB5140" w14:textId="77777777" w:rsidTr="00416682">
        <w:trPr>
          <w:trHeight w:val="300"/>
        </w:trPr>
        <w:tc>
          <w:tcPr>
            <w:tcW w:w="1361" w:type="dxa"/>
            <w:noWrap/>
            <w:hideMark/>
          </w:tcPr>
          <w:p w14:paraId="3C028EA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4928064B" w14:textId="0EEE98C2" w:rsidR="0087786B" w:rsidRPr="0087786B" w:rsidRDefault="00D53AE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El Viso</w:t>
            </w:r>
          </w:p>
        </w:tc>
        <w:tc>
          <w:tcPr>
            <w:tcW w:w="3101" w:type="dxa"/>
            <w:hideMark/>
          </w:tcPr>
          <w:p w14:paraId="1F8652B9" w14:textId="68EB8D32" w:rsidR="0087786B" w:rsidRPr="0087786B" w:rsidRDefault="00D53AE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 E</w:t>
            </w:r>
            <w:r w:rsidRPr="0087786B">
              <w:rPr>
                <w:rFonts w:ascii="Arial" w:eastAsiaTheme="minorHAnsi" w:hAnsi="Arial" w:cs="Arial"/>
                <w:bCs/>
                <w:lang w:eastAsia="en-US"/>
              </w:rPr>
              <w:t>l viso se renueva</w:t>
            </w:r>
          </w:p>
        </w:tc>
        <w:tc>
          <w:tcPr>
            <w:tcW w:w="1553" w:type="dxa"/>
            <w:noWrap/>
            <w:hideMark/>
          </w:tcPr>
          <w:p w14:paraId="7F205720"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1.000.000,00 €</w:t>
            </w:r>
          </w:p>
        </w:tc>
      </w:tr>
      <w:tr w:rsidR="0087786B" w:rsidRPr="0087786B" w14:paraId="540B6995" w14:textId="77777777" w:rsidTr="00416682">
        <w:trPr>
          <w:trHeight w:val="783"/>
        </w:trPr>
        <w:tc>
          <w:tcPr>
            <w:tcW w:w="1361" w:type="dxa"/>
            <w:noWrap/>
            <w:hideMark/>
          </w:tcPr>
          <w:p w14:paraId="2B28CA03"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56DA8CB0" w14:textId="35DA61CE" w:rsidR="0087786B" w:rsidRPr="0087786B" w:rsidRDefault="00D53AE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Priego de Có</w:t>
            </w:r>
            <w:r w:rsidR="0087786B" w:rsidRPr="0087786B">
              <w:rPr>
                <w:rFonts w:ascii="Arial" w:eastAsiaTheme="minorHAnsi" w:hAnsi="Arial" w:cs="Arial"/>
                <w:bCs/>
                <w:lang w:eastAsia="en-US"/>
              </w:rPr>
              <w:t>rdoba</w:t>
            </w:r>
          </w:p>
        </w:tc>
        <w:tc>
          <w:tcPr>
            <w:tcW w:w="3101" w:type="dxa"/>
            <w:hideMark/>
          </w:tcPr>
          <w:p w14:paraId="19540D3D" w14:textId="01E8F483" w:rsidR="0087786B" w:rsidRPr="0087786B" w:rsidRDefault="00D53AE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Priego de Có</w:t>
            </w:r>
            <w:r w:rsidRPr="0087786B">
              <w:rPr>
                <w:rFonts w:ascii="Arial" w:eastAsiaTheme="minorHAnsi" w:hAnsi="Arial" w:cs="Arial"/>
                <w:bCs/>
                <w:lang w:eastAsia="en-US"/>
              </w:rPr>
              <w:t>rdoba "la apuesta por un destino sostenible, patrimonial y natural"</w:t>
            </w:r>
          </w:p>
        </w:tc>
        <w:tc>
          <w:tcPr>
            <w:tcW w:w="1553" w:type="dxa"/>
            <w:noWrap/>
            <w:hideMark/>
          </w:tcPr>
          <w:p w14:paraId="488C93B5"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2.826.984,02 €</w:t>
            </w:r>
          </w:p>
        </w:tc>
      </w:tr>
      <w:tr w:rsidR="0087786B" w:rsidRPr="0087786B" w14:paraId="36135E7F" w14:textId="77777777" w:rsidTr="00416682">
        <w:trPr>
          <w:trHeight w:val="525"/>
        </w:trPr>
        <w:tc>
          <w:tcPr>
            <w:tcW w:w="1361" w:type="dxa"/>
            <w:noWrap/>
            <w:hideMark/>
          </w:tcPr>
          <w:p w14:paraId="54DE695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737D3F1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Zuheros</w:t>
            </w:r>
          </w:p>
        </w:tc>
        <w:tc>
          <w:tcPr>
            <w:tcW w:w="3101" w:type="dxa"/>
            <w:hideMark/>
          </w:tcPr>
          <w:p w14:paraId="26EA76E7"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en Destino de Zuheros</w:t>
            </w:r>
          </w:p>
        </w:tc>
        <w:tc>
          <w:tcPr>
            <w:tcW w:w="1553" w:type="dxa"/>
            <w:noWrap/>
            <w:hideMark/>
          </w:tcPr>
          <w:p w14:paraId="0BE0471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1.000.000,00 €</w:t>
            </w:r>
          </w:p>
        </w:tc>
      </w:tr>
      <w:tr w:rsidR="0087786B" w:rsidRPr="0087786B" w14:paraId="044FE9EC" w14:textId="77777777" w:rsidTr="00416682">
        <w:trPr>
          <w:trHeight w:val="525"/>
        </w:trPr>
        <w:tc>
          <w:tcPr>
            <w:tcW w:w="1361" w:type="dxa"/>
            <w:noWrap/>
            <w:hideMark/>
          </w:tcPr>
          <w:p w14:paraId="201D09A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150710A6" w14:textId="134EA88A" w:rsidR="0087786B" w:rsidRPr="0087786B" w:rsidRDefault="00D53AE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Montilla</w:t>
            </w:r>
          </w:p>
        </w:tc>
        <w:tc>
          <w:tcPr>
            <w:tcW w:w="3101" w:type="dxa"/>
            <w:hideMark/>
          </w:tcPr>
          <w:p w14:paraId="4B167BC2" w14:textId="2ED60121"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Amontillate: viv</w:t>
            </w:r>
            <w:r w:rsidR="00D53AE5">
              <w:rPr>
                <w:rFonts w:ascii="Arial" w:eastAsiaTheme="minorHAnsi" w:hAnsi="Arial" w:cs="Arial"/>
                <w:bCs/>
                <w:lang w:eastAsia="en-US"/>
              </w:rPr>
              <w:t>ir la experiencia del vino en Có</w:t>
            </w:r>
            <w:r w:rsidRPr="0087786B">
              <w:rPr>
                <w:rFonts w:ascii="Arial" w:eastAsiaTheme="minorHAnsi" w:hAnsi="Arial" w:cs="Arial"/>
                <w:bCs/>
                <w:lang w:eastAsia="en-US"/>
              </w:rPr>
              <w:t>rdoba</w:t>
            </w:r>
          </w:p>
        </w:tc>
        <w:tc>
          <w:tcPr>
            <w:tcW w:w="1553" w:type="dxa"/>
            <w:noWrap/>
            <w:hideMark/>
          </w:tcPr>
          <w:p w14:paraId="389697F2"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2.730.000,00 €</w:t>
            </w:r>
          </w:p>
        </w:tc>
      </w:tr>
      <w:tr w:rsidR="0087786B" w:rsidRPr="0087786B" w14:paraId="2B293C48" w14:textId="77777777" w:rsidTr="00416682">
        <w:trPr>
          <w:trHeight w:val="525"/>
        </w:trPr>
        <w:tc>
          <w:tcPr>
            <w:tcW w:w="1361" w:type="dxa"/>
            <w:noWrap/>
            <w:hideMark/>
          </w:tcPr>
          <w:p w14:paraId="08CDAF6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55CE730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Baza</w:t>
            </w:r>
          </w:p>
        </w:tc>
        <w:tc>
          <w:tcPr>
            <w:tcW w:w="3101" w:type="dxa"/>
            <w:hideMark/>
          </w:tcPr>
          <w:p w14:paraId="6C20D73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de Baza</w:t>
            </w:r>
          </w:p>
        </w:tc>
        <w:tc>
          <w:tcPr>
            <w:tcW w:w="1553" w:type="dxa"/>
            <w:noWrap/>
            <w:hideMark/>
          </w:tcPr>
          <w:p w14:paraId="42ED7834"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1.955.000,00 €</w:t>
            </w:r>
          </w:p>
        </w:tc>
      </w:tr>
      <w:tr w:rsidR="0087786B" w:rsidRPr="0087786B" w14:paraId="2AD6F0B0" w14:textId="77777777" w:rsidTr="00416682">
        <w:trPr>
          <w:trHeight w:val="300"/>
        </w:trPr>
        <w:tc>
          <w:tcPr>
            <w:tcW w:w="1361" w:type="dxa"/>
            <w:noWrap/>
            <w:hideMark/>
          </w:tcPr>
          <w:p w14:paraId="67FA646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0BE9CF5C" w14:textId="276EC80C" w:rsidR="0087786B" w:rsidRPr="0087786B" w:rsidRDefault="00D53AE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Castril</w:t>
            </w:r>
          </w:p>
        </w:tc>
        <w:tc>
          <w:tcPr>
            <w:tcW w:w="3101" w:type="dxa"/>
            <w:hideMark/>
          </w:tcPr>
          <w:p w14:paraId="23C4A20A" w14:textId="667A0DF1" w:rsidR="0087786B" w:rsidRPr="0087786B" w:rsidRDefault="00D53AE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Castril Paraiso Natural</w:t>
            </w:r>
          </w:p>
        </w:tc>
        <w:tc>
          <w:tcPr>
            <w:tcW w:w="1553" w:type="dxa"/>
            <w:noWrap/>
            <w:hideMark/>
          </w:tcPr>
          <w:p w14:paraId="49891427"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1.782.643,32 €</w:t>
            </w:r>
          </w:p>
        </w:tc>
      </w:tr>
      <w:tr w:rsidR="0087786B" w:rsidRPr="0087786B" w14:paraId="06069E81" w14:textId="77777777" w:rsidTr="00416682">
        <w:trPr>
          <w:trHeight w:val="595"/>
        </w:trPr>
        <w:tc>
          <w:tcPr>
            <w:tcW w:w="1361" w:type="dxa"/>
            <w:noWrap/>
            <w:hideMark/>
          </w:tcPr>
          <w:p w14:paraId="12DC659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2C31D035" w14:textId="73787A80" w:rsidR="0087786B" w:rsidRPr="0087786B" w:rsidRDefault="00D53AE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w:t>
            </w:r>
            <w:r w:rsidR="0087786B" w:rsidRPr="0087786B">
              <w:rPr>
                <w:rFonts w:ascii="Arial" w:eastAsiaTheme="minorHAnsi" w:hAnsi="Arial" w:cs="Arial"/>
                <w:bCs/>
                <w:lang w:eastAsia="en-US"/>
              </w:rPr>
              <w:t xml:space="preserve"> Provincial de Granada</w:t>
            </w:r>
          </w:p>
        </w:tc>
        <w:tc>
          <w:tcPr>
            <w:tcW w:w="3101" w:type="dxa"/>
            <w:hideMark/>
          </w:tcPr>
          <w:p w14:paraId="0E0D5B3F" w14:textId="0F7F7942" w:rsidR="0087786B" w:rsidRPr="0087786B" w:rsidRDefault="00D53AE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del Poniente Granadino: La </w:t>
            </w:r>
            <w:r w:rsidRPr="0087786B">
              <w:rPr>
                <w:rFonts w:ascii="Arial" w:eastAsiaTheme="minorHAnsi" w:hAnsi="Arial" w:cs="Arial"/>
                <w:bCs/>
                <w:lang w:eastAsia="en-US"/>
              </w:rPr>
              <w:t>Última</w:t>
            </w:r>
            <w:r w:rsidR="0087786B" w:rsidRPr="0087786B">
              <w:rPr>
                <w:rFonts w:ascii="Arial" w:eastAsiaTheme="minorHAnsi" w:hAnsi="Arial" w:cs="Arial"/>
                <w:bCs/>
                <w:lang w:eastAsia="en-US"/>
              </w:rPr>
              <w:t xml:space="preserve"> Frontera de Al Andalus</w:t>
            </w:r>
          </w:p>
        </w:tc>
        <w:tc>
          <w:tcPr>
            <w:tcW w:w="1553" w:type="dxa"/>
            <w:noWrap/>
            <w:hideMark/>
          </w:tcPr>
          <w:p w14:paraId="31723922"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2.480.000,00 €</w:t>
            </w:r>
          </w:p>
        </w:tc>
      </w:tr>
      <w:tr w:rsidR="0087786B" w:rsidRPr="0087786B" w14:paraId="1A446839" w14:textId="77777777" w:rsidTr="00416682">
        <w:trPr>
          <w:trHeight w:val="548"/>
        </w:trPr>
        <w:tc>
          <w:tcPr>
            <w:tcW w:w="1361" w:type="dxa"/>
            <w:noWrap/>
            <w:hideMark/>
          </w:tcPr>
          <w:p w14:paraId="46FB6379"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35240408" w14:textId="52F65790" w:rsidR="0087786B" w:rsidRPr="0087786B" w:rsidRDefault="00D53AE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Huelva</w:t>
            </w:r>
          </w:p>
        </w:tc>
        <w:tc>
          <w:tcPr>
            <w:tcW w:w="3101" w:type="dxa"/>
            <w:hideMark/>
          </w:tcPr>
          <w:p w14:paraId="41BB7009" w14:textId="24DDE896" w:rsidR="0087786B" w:rsidRPr="0087786B" w:rsidRDefault="00D53AE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w:t>
            </w:r>
            <w:r w:rsidRPr="0087786B">
              <w:rPr>
                <w:rFonts w:ascii="Arial" w:eastAsiaTheme="minorHAnsi" w:hAnsi="Arial" w:cs="Arial"/>
                <w:bCs/>
                <w:lang w:eastAsia="en-US"/>
              </w:rPr>
              <w:t>"Huelva, The British Legacy"</w:t>
            </w:r>
          </w:p>
        </w:tc>
        <w:tc>
          <w:tcPr>
            <w:tcW w:w="1553" w:type="dxa"/>
            <w:noWrap/>
            <w:hideMark/>
          </w:tcPr>
          <w:p w14:paraId="4EC5EDE6"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3.000.000,00 €</w:t>
            </w:r>
          </w:p>
        </w:tc>
      </w:tr>
      <w:tr w:rsidR="0087786B" w:rsidRPr="0087786B" w14:paraId="2EE50C39" w14:textId="77777777" w:rsidTr="00416682">
        <w:trPr>
          <w:trHeight w:val="569"/>
        </w:trPr>
        <w:tc>
          <w:tcPr>
            <w:tcW w:w="1361" w:type="dxa"/>
            <w:noWrap/>
            <w:hideMark/>
          </w:tcPr>
          <w:p w14:paraId="4D5F1A1D"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5479A858" w14:textId="05387FD5" w:rsidR="0087786B" w:rsidRPr="0087786B" w:rsidRDefault="00D53AE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w:t>
            </w:r>
            <w:r>
              <w:rPr>
                <w:rFonts w:ascii="Arial" w:eastAsiaTheme="minorHAnsi" w:hAnsi="Arial" w:cs="Arial"/>
                <w:bCs/>
                <w:lang w:eastAsia="en-US"/>
              </w:rPr>
              <w:t xml:space="preserve"> Provincial d</w:t>
            </w:r>
            <w:r w:rsidRPr="0087786B">
              <w:rPr>
                <w:rFonts w:ascii="Arial" w:eastAsiaTheme="minorHAnsi" w:hAnsi="Arial" w:cs="Arial"/>
                <w:bCs/>
                <w:lang w:eastAsia="en-US"/>
              </w:rPr>
              <w:t>e Huelva</w:t>
            </w:r>
          </w:p>
        </w:tc>
        <w:tc>
          <w:tcPr>
            <w:tcW w:w="3101" w:type="dxa"/>
            <w:hideMark/>
          </w:tcPr>
          <w:p w14:paraId="5A3C21B1" w14:textId="6BE60879" w:rsidR="0087786B" w:rsidRPr="0087786B" w:rsidRDefault="00D53AE5" w:rsidP="00D53AE5">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PSTD </w:t>
            </w:r>
            <w:r w:rsidR="0087786B" w:rsidRPr="0087786B">
              <w:rPr>
                <w:rFonts w:ascii="Arial" w:eastAsiaTheme="minorHAnsi" w:hAnsi="Arial" w:cs="Arial"/>
                <w:bCs/>
                <w:lang w:eastAsia="en-US"/>
              </w:rPr>
              <w:t>Cuenca Minera, lugar por descubrir</w:t>
            </w:r>
          </w:p>
        </w:tc>
        <w:tc>
          <w:tcPr>
            <w:tcW w:w="1553" w:type="dxa"/>
            <w:noWrap/>
            <w:hideMark/>
          </w:tcPr>
          <w:p w14:paraId="4FE56874"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2.059.087,34 €</w:t>
            </w:r>
          </w:p>
        </w:tc>
      </w:tr>
      <w:tr w:rsidR="0087786B" w:rsidRPr="0087786B" w14:paraId="01DD77D4" w14:textId="77777777" w:rsidTr="00416682">
        <w:trPr>
          <w:trHeight w:val="525"/>
        </w:trPr>
        <w:tc>
          <w:tcPr>
            <w:tcW w:w="1361" w:type="dxa"/>
            <w:noWrap/>
            <w:hideMark/>
          </w:tcPr>
          <w:p w14:paraId="2412B7A2"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7D1B7BEB" w14:textId="27426411" w:rsidR="0087786B" w:rsidRPr="0087786B" w:rsidRDefault="00D53AE5" w:rsidP="00D53AE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Mancomunidad D</w:t>
            </w:r>
            <w:r w:rsidRPr="0087786B">
              <w:rPr>
                <w:rFonts w:ascii="Arial" w:eastAsiaTheme="minorHAnsi" w:hAnsi="Arial" w:cs="Arial"/>
                <w:bCs/>
                <w:lang w:eastAsia="en-US"/>
              </w:rPr>
              <w:t>e Islantilla</w:t>
            </w:r>
          </w:p>
        </w:tc>
        <w:tc>
          <w:tcPr>
            <w:tcW w:w="3101" w:type="dxa"/>
            <w:hideMark/>
          </w:tcPr>
          <w:p w14:paraId="226DDDC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Islantilla, entre el verde y el azul.</w:t>
            </w:r>
          </w:p>
        </w:tc>
        <w:tc>
          <w:tcPr>
            <w:tcW w:w="1553" w:type="dxa"/>
            <w:noWrap/>
            <w:hideMark/>
          </w:tcPr>
          <w:p w14:paraId="6BE3165A"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2.589.440,00 €</w:t>
            </w:r>
          </w:p>
        </w:tc>
      </w:tr>
      <w:tr w:rsidR="0087786B" w:rsidRPr="0087786B" w14:paraId="5F4D97F1" w14:textId="77777777" w:rsidTr="00416682">
        <w:trPr>
          <w:trHeight w:val="585"/>
        </w:trPr>
        <w:tc>
          <w:tcPr>
            <w:tcW w:w="1361" w:type="dxa"/>
            <w:noWrap/>
            <w:hideMark/>
          </w:tcPr>
          <w:p w14:paraId="284AC0AE"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56CEA3AF" w14:textId="670B45C6" w:rsidR="0087786B" w:rsidRPr="0087786B" w:rsidRDefault="00D53AE5" w:rsidP="00D53AE5">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Ayuntamiento de </w:t>
            </w:r>
            <w:r>
              <w:rPr>
                <w:rFonts w:ascii="Arial" w:eastAsiaTheme="minorHAnsi" w:hAnsi="Arial" w:cs="Arial"/>
                <w:bCs/>
                <w:lang w:eastAsia="en-US"/>
              </w:rPr>
              <w:t>Alcalá la R</w:t>
            </w:r>
            <w:r w:rsidRPr="0087786B">
              <w:rPr>
                <w:rFonts w:ascii="Arial" w:eastAsiaTheme="minorHAnsi" w:hAnsi="Arial" w:cs="Arial"/>
                <w:bCs/>
                <w:lang w:eastAsia="en-US"/>
              </w:rPr>
              <w:t>eal</w:t>
            </w:r>
          </w:p>
        </w:tc>
        <w:tc>
          <w:tcPr>
            <w:tcW w:w="3101" w:type="dxa"/>
            <w:hideMark/>
          </w:tcPr>
          <w:p w14:paraId="506A6490" w14:textId="0DF1A62F" w:rsidR="0087786B" w:rsidRPr="0087786B" w:rsidRDefault="00D53AE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w:t>
            </w:r>
            <w:r>
              <w:rPr>
                <w:rFonts w:ascii="Arial" w:eastAsiaTheme="minorHAnsi" w:hAnsi="Arial" w:cs="Arial"/>
                <w:bCs/>
                <w:lang w:eastAsia="en-US"/>
              </w:rPr>
              <w:t>"Conectando Alcalá l</w:t>
            </w:r>
            <w:r w:rsidRPr="0087786B">
              <w:rPr>
                <w:rFonts w:ascii="Arial" w:eastAsiaTheme="minorHAnsi" w:hAnsi="Arial" w:cs="Arial"/>
                <w:bCs/>
                <w:lang w:eastAsia="en-US"/>
              </w:rPr>
              <w:t>a Real"</w:t>
            </w:r>
          </w:p>
        </w:tc>
        <w:tc>
          <w:tcPr>
            <w:tcW w:w="1553" w:type="dxa"/>
            <w:noWrap/>
            <w:hideMark/>
          </w:tcPr>
          <w:p w14:paraId="1CA0C90C"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2.883.755,51 €</w:t>
            </w:r>
          </w:p>
        </w:tc>
      </w:tr>
      <w:tr w:rsidR="0087786B" w:rsidRPr="0087786B" w14:paraId="42FDBC44" w14:textId="77777777" w:rsidTr="00416682">
        <w:trPr>
          <w:trHeight w:val="525"/>
        </w:trPr>
        <w:tc>
          <w:tcPr>
            <w:tcW w:w="1361" w:type="dxa"/>
            <w:noWrap/>
            <w:hideMark/>
          </w:tcPr>
          <w:p w14:paraId="3ECAD67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06915105" w14:textId="652BCDFC" w:rsidR="0087786B" w:rsidRPr="0087786B" w:rsidRDefault="00D53AE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Jaé</w:t>
            </w:r>
            <w:r w:rsidRPr="0087786B">
              <w:rPr>
                <w:rFonts w:ascii="Arial" w:eastAsiaTheme="minorHAnsi" w:hAnsi="Arial" w:cs="Arial"/>
                <w:bCs/>
                <w:lang w:eastAsia="en-US"/>
              </w:rPr>
              <w:t>n</w:t>
            </w:r>
          </w:p>
        </w:tc>
        <w:tc>
          <w:tcPr>
            <w:tcW w:w="3101" w:type="dxa"/>
            <w:hideMark/>
          </w:tcPr>
          <w:p w14:paraId="0FDDE77D" w14:textId="395A7DAE" w:rsidR="0087786B" w:rsidRPr="0087786B" w:rsidRDefault="00D53AE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Jaé</w:t>
            </w:r>
            <w:r w:rsidR="0087786B" w:rsidRPr="0087786B">
              <w:rPr>
                <w:rFonts w:ascii="Arial" w:eastAsiaTheme="minorHAnsi" w:hAnsi="Arial" w:cs="Arial"/>
                <w:bCs/>
                <w:lang w:eastAsia="en-US"/>
              </w:rPr>
              <w:t>n, Capital del Oleoturismo en España.</w:t>
            </w:r>
          </w:p>
        </w:tc>
        <w:tc>
          <w:tcPr>
            <w:tcW w:w="1553" w:type="dxa"/>
            <w:noWrap/>
            <w:hideMark/>
          </w:tcPr>
          <w:p w14:paraId="4F066281"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2.492.600,00 €</w:t>
            </w:r>
          </w:p>
        </w:tc>
      </w:tr>
      <w:tr w:rsidR="0087786B" w:rsidRPr="0087786B" w14:paraId="6DBB912C" w14:textId="77777777" w:rsidTr="00416682">
        <w:trPr>
          <w:trHeight w:val="525"/>
        </w:trPr>
        <w:tc>
          <w:tcPr>
            <w:tcW w:w="1361" w:type="dxa"/>
            <w:noWrap/>
            <w:hideMark/>
          </w:tcPr>
          <w:p w14:paraId="1B2C488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0CE75C5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Martos</w:t>
            </w:r>
          </w:p>
        </w:tc>
        <w:tc>
          <w:tcPr>
            <w:tcW w:w="3101" w:type="dxa"/>
            <w:hideMark/>
          </w:tcPr>
          <w:p w14:paraId="22CEC575" w14:textId="77777777" w:rsidR="0087786B" w:rsidRPr="0087786B" w:rsidRDefault="0087786B" w:rsidP="00D53AE5">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Martos, Naturaleza, Gastronomia y Aceite</w:t>
            </w:r>
          </w:p>
        </w:tc>
        <w:tc>
          <w:tcPr>
            <w:tcW w:w="1553" w:type="dxa"/>
            <w:noWrap/>
            <w:hideMark/>
          </w:tcPr>
          <w:p w14:paraId="7179EE65"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2.400.000,00 €</w:t>
            </w:r>
          </w:p>
        </w:tc>
      </w:tr>
      <w:tr w:rsidR="0087786B" w:rsidRPr="0087786B" w14:paraId="2B1E11ED" w14:textId="77777777" w:rsidTr="00416682">
        <w:trPr>
          <w:trHeight w:val="609"/>
        </w:trPr>
        <w:tc>
          <w:tcPr>
            <w:tcW w:w="1361" w:type="dxa"/>
            <w:noWrap/>
            <w:hideMark/>
          </w:tcPr>
          <w:p w14:paraId="4FBD482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2B870F03" w14:textId="32C71F96" w:rsidR="0087786B" w:rsidRPr="0087786B" w:rsidRDefault="00D53AE5" w:rsidP="00D53AE5">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Ayuntamiento de </w:t>
            </w:r>
            <w:r>
              <w:rPr>
                <w:rFonts w:ascii="Arial" w:eastAsiaTheme="minorHAnsi" w:hAnsi="Arial" w:cs="Arial"/>
                <w:bCs/>
                <w:lang w:eastAsia="en-US"/>
              </w:rPr>
              <w:t>la Carolina</w:t>
            </w:r>
          </w:p>
        </w:tc>
        <w:tc>
          <w:tcPr>
            <w:tcW w:w="3101" w:type="dxa"/>
            <w:hideMark/>
          </w:tcPr>
          <w:p w14:paraId="7757BB0E" w14:textId="6A76DBB7" w:rsidR="0087786B" w:rsidRPr="0087786B" w:rsidRDefault="00D53AE5" w:rsidP="00D53AE5">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La Carolina, colona y minera</w:t>
            </w:r>
          </w:p>
        </w:tc>
        <w:tc>
          <w:tcPr>
            <w:tcW w:w="1553" w:type="dxa"/>
            <w:noWrap/>
            <w:hideMark/>
          </w:tcPr>
          <w:p w14:paraId="7BB00789"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2.500.000,00 €</w:t>
            </w:r>
          </w:p>
        </w:tc>
      </w:tr>
      <w:tr w:rsidR="0087786B" w:rsidRPr="0087786B" w14:paraId="0D699035" w14:textId="77777777" w:rsidTr="00416682">
        <w:trPr>
          <w:trHeight w:val="704"/>
        </w:trPr>
        <w:tc>
          <w:tcPr>
            <w:tcW w:w="1361" w:type="dxa"/>
            <w:noWrap/>
            <w:hideMark/>
          </w:tcPr>
          <w:p w14:paraId="3BA26E0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61635CC7" w14:textId="3294F47E" w:rsidR="0087786B" w:rsidRPr="0087786B" w:rsidRDefault="00880287" w:rsidP="00880287">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Fuengirola</w:t>
            </w:r>
          </w:p>
        </w:tc>
        <w:tc>
          <w:tcPr>
            <w:tcW w:w="3101" w:type="dxa"/>
            <w:hideMark/>
          </w:tcPr>
          <w:p w14:paraId="3BEB2984" w14:textId="627AD8AB" w:rsidR="0087786B" w:rsidRPr="0087786B" w:rsidRDefault="0088028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Fuengirola más Turismo - Por un d</w:t>
            </w:r>
            <w:r w:rsidRPr="0087786B">
              <w:rPr>
                <w:rFonts w:ascii="Arial" w:eastAsiaTheme="minorHAnsi" w:hAnsi="Arial" w:cs="Arial"/>
                <w:bCs/>
                <w:lang w:eastAsia="en-US"/>
              </w:rPr>
              <w:t xml:space="preserve">estino </w:t>
            </w:r>
            <w:r>
              <w:rPr>
                <w:rFonts w:ascii="Arial" w:eastAsiaTheme="minorHAnsi" w:hAnsi="Arial" w:cs="Arial"/>
                <w:bCs/>
                <w:lang w:eastAsia="en-US"/>
              </w:rPr>
              <w:t>m</w:t>
            </w:r>
            <w:r w:rsidRPr="0087786B">
              <w:rPr>
                <w:rFonts w:ascii="Arial" w:eastAsiaTheme="minorHAnsi" w:hAnsi="Arial" w:cs="Arial"/>
                <w:bCs/>
                <w:lang w:eastAsia="en-US"/>
              </w:rPr>
              <w:t>ás</w:t>
            </w:r>
            <w:r>
              <w:rPr>
                <w:rFonts w:ascii="Arial" w:eastAsiaTheme="minorHAnsi" w:hAnsi="Arial" w:cs="Arial"/>
                <w:bCs/>
                <w:lang w:eastAsia="en-US"/>
              </w:rPr>
              <w:t xml:space="preserve"> s</w:t>
            </w:r>
            <w:r w:rsidRPr="0087786B">
              <w:rPr>
                <w:rFonts w:ascii="Arial" w:eastAsiaTheme="minorHAnsi" w:hAnsi="Arial" w:cs="Arial"/>
                <w:bCs/>
                <w:lang w:eastAsia="en-US"/>
              </w:rPr>
              <w:t>ostenible E Inteligente</w:t>
            </w:r>
          </w:p>
        </w:tc>
        <w:tc>
          <w:tcPr>
            <w:tcW w:w="1553" w:type="dxa"/>
            <w:noWrap/>
            <w:hideMark/>
          </w:tcPr>
          <w:p w14:paraId="47A48405"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2.498.580,00 €</w:t>
            </w:r>
          </w:p>
        </w:tc>
      </w:tr>
      <w:tr w:rsidR="0087786B" w:rsidRPr="0087786B" w14:paraId="59E05C5B" w14:textId="77777777" w:rsidTr="00416682">
        <w:trPr>
          <w:trHeight w:val="885"/>
        </w:trPr>
        <w:tc>
          <w:tcPr>
            <w:tcW w:w="1361" w:type="dxa"/>
            <w:noWrap/>
            <w:hideMark/>
          </w:tcPr>
          <w:p w14:paraId="25CDF34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68FBDE0F" w14:textId="0417BAEE" w:rsidR="0087786B" w:rsidRPr="0087786B" w:rsidRDefault="00880287" w:rsidP="00880287">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de C</w:t>
            </w:r>
            <w:r w:rsidRPr="0087786B">
              <w:rPr>
                <w:rFonts w:ascii="Arial" w:eastAsiaTheme="minorHAnsi" w:hAnsi="Arial" w:cs="Arial"/>
                <w:bCs/>
                <w:lang w:eastAsia="en-US"/>
              </w:rPr>
              <w:t>armona</w:t>
            </w:r>
          </w:p>
        </w:tc>
        <w:tc>
          <w:tcPr>
            <w:tcW w:w="3101" w:type="dxa"/>
            <w:hideMark/>
          </w:tcPr>
          <w:p w14:paraId="2182E6C7" w14:textId="53D68F89"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PSTD </w:t>
            </w:r>
            <w:r w:rsidR="00880287">
              <w:rPr>
                <w:rFonts w:ascii="Arial" w:eastAsiaTheme="minorHAnsi" w:hAnsi="Arial" w:cs="Arial"/>
                <w:bCs/>
                <w:lang w:eastAsia="en-US"/>
              </w:rPr>
              <w:t>C</w:t>
            </w:r>
            <w:r w:rsidR="00880287" w:rsidRPr="0087786B">
              <w:rPr>
                <w:rFonts w:ascii="Arial" w:eastAsiaTheme="minorHAnsi" w:hAnsi="Arial" w:cs="Arial"/>
                <w:bCs/>
                <w:lang w:eastAsia="en-US"/>
              </w:rPr>
              <w:t>armona. Transformación hacia un destino singular y más sostenible</w:t>
            </w:r>
          </w:p>
        </w:tc>
        <w:tc>
          <w:tcPr>
            <w:tcW w:w="1553" w:type="dxa"/>
            <w:noWrap/>
            <w:hideMark/>
          </w:tcPr>
          <w:p w14:paraId="35DC2767"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2.688.000,00 €</w:t>
            </w:r>
          </w:p>
        </w:tc>
      </w:tr>
      <w:tr w:rsidR="0087786B" w:rsidRPr="0087786B" w14:paraId="76F6AEF3" w14:textId="77777777" w:rsidTr="00416682">
        <w:trPr>
          <w:trHeight w:val="525"/>
        </w:trPr>
        <w:tc>
          <w:tcPr>
            <w:tcW w:w="1361" w:type="dxa"/>
            <w:noWrap/>
            <w:hideMark/>
          </w:tcPr>
          <w:p w14:paraId="0F43E2E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3A649B93" w14:textId="1E2E82EB" w:rsidR="0087786B" w:rsidRPr="0087786B" w:rsidRDefault="0088028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Estepa</w:t>
            </w:r>
          </w:p>
        </w:tc>
        <w:tc>
          <w:tcPr>
            <w:tcW w:w="3101" w:type="dxa"/>
            <w:hideMark/>
          </w:tcPr>
          <w:p w14:paraId="40B1203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Estepa Turistica Inteligente 20-30</w:t>
            </w:r>
          </w:p>
        </w:tc>
        <w:tc>
          <w:tcPr>
            <w:tcW w:w="1553" w:type="dxa"/>
            <w:noWrap/>
            <w:hideMark/>
          </w:tcPr>
          <w:p w14:paraId="662D67D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1920C13F" w14:textId="77777777" w:rsidTr="00416682">
        <w:trPr>
          <w:trHeight w:val="525"/>
        </w:trPr>
        <w:tc>
          <w:tcPr>
            <w:tcW w:w="1361" w:type="dxa"/>
            <w:noWrap/>
            <w:hideMark/>
          </w:tcPr>
          <w:p w14:paraId="70A2916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Andalucía</w:t>
            </w:r>
          </w:p>
        </w:tc>
        <w:tc>
          <w:tcPr>
            <w:tcW w:w="2479" w:type="dxa"/>
            <w:noWrap/>
            <w:hideMark/>
          </w:tcPr>
          <w:p w14:paraId="27B19A80" w14:textId="752729BB" w:rsidR="0087786B" w:rsidRPr="0087786B" w:rsidRDefault="0087786B" w:rsidP="0088028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 xml:space="preserve">Mancomunidad </w:t>
            </w:r>
            <w:r w:rsidR="00880287">
              <w:rPr>
                <w:rFonts w:ascii="Arial" w:eastAsiaTheme="minorHAnsi" w:hAnsi="Arial" w:cs="Arial"/>
                <w:bCs/>
                <w:lang w:eastAsia="en-US"/>
              </w:rPr>
              <w:t>de Municipios de la Comarca de É</w:t>
            </w:r>
            <w:r w:rsidRPr="0087786B">
              <w:rPr>
                <w:rFonts w:ascii="Arial" w:eastAsiaTheme="minorHAnsi" w:hAnsi="Arial" w:cs="Arial"/>
                <w:bCs/>
                <w:lang w:eastAsia="en-US"/>
              </w:rPr>
              <w:t>cija</w:t>
            </w:r>
          </w:p>
        </w:tc>
        <w:tc>
          <w:tcPr>
            <w:tcW w:w="3101" w:type="dxa"/>
            <w:hideMark/>
          </w:tcPr>
          <w:p w14:paraId="6380F83D" w14:textId="6D0C608B" w:rsidR="0087786B" w:rsidRPr="0087786B" w:rsidRDefault="0088028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Destino Comarca de É</w:t>
            </w:r>
            <w:r w:rsidR="0087786B" w:rsidRPr="0087786B">
              <w:rPr>
                <w:rFonts w:ascii="Arial" w:eastAsiaTheme="minorHAnsi" w:hAnsi="Arial" w:cs="Arial"/>
                <w:bCs/>
                <w:lang w:eastAsia="en-US"/>
              </w:rPr>
              <w:t>cija, Tierra de Contrastes</w:t>
            </w:r>
          </w:p>
        </w:tc>
        <w:tc>
          <w:tcPr>
            <w:tcW w:w="1553" w:type="dxa"/>
            <w:noWrap/>
            <w:hideMark/>
          </w:tcPr>
          <w:p w14:paraId="65C030E5"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2.603.909,81 €</w:t>
            </w:r>
          </w:p>
        </w:tc>
      </w:tr>
      <w:tr w:rsidR="0087786B" w:rsidRPr="0087786B" w14:paraId="358EA5B2" w14:textId="77777777" w:rsidTr="00416682">
        <w:trPr>
          <w:trHeight w:val="300"/>
        </w:trPr>
        <w:tc>
          <w:tcPr>
            <w:tcW w:w="1361" w:type="dxa"/>
            <w:noWrap/>
            <w:hideMark/>
          </w:tcPr>
          <w:p w14:paraId="18A251A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Aragón</w:t>
            </w:r>
          </w:p>
        </w:tc>
        <w:tc>
          <w:tcPr>
            <w:tcW w:w="2479" w:type="dxa"/>
            <w:noWrap/>
            <w:hideMark/>
          </w:tcPr>
          <w:p w14:paraId="26222265" w14:textId="56832D28" w:rsidR="0087786B" w:rsidRPr="0087786B" w:rsidRDefault="0088028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Huesca</w:t>
            </w:r>
          </w:p>
        </w:tc>
        <w:tc>
          <w:tcPr>
            <w:tcW w:w="3101" w:type="dxa"/>
            <w:hideMark/>
          </w:tcPr>
          <w:p w14:paraId="068E4A2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Huesca, puerta del pirineo</w:t>
            </w:r>
          </w:p>
        </w:tc>
        <w:tc>
          <w:tcPr>
            <w:tcW w:w="1553" w:type="dxa"/>
            <w:noWrap/>
            <w:hideMark/>
          </w:tcPr>
          <w:p w14:paraId="1BC0266B"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7B36CA3F" w14:textId="77777777" w:rsidTr="00416682">
        <w:trPr>
          <w:trHeight w:val="1035"/>
        </w:trPr>
        <w:tc>
          <w:tcPr>
            <w:tcW w:w="1361" w:type="dxa"/>
            <w:noWrap/>
            <w:hideMark/>
          </w:tcPr>
          <w:p w14:paraId="3C777ACD"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Aragón</w:t>
            </w:r>
          </w:p>
        </w:tc>
        <w:tc>
          <w:tcPr>
            <w:tcW w:w="2479" w:type="dxa"/>
            <w:noWrap/>
            <w:hideMark/>
          </w:tcPr>
          <w:p w14:paraId="4EAEDBD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Loarre</w:t>
            </w:r>
          </w:p>
        </w:tc>
        <w:tc>
          <w:tcPr>
            <w:tcW w:w="3101" w:type="dxa"/>
            <w:hideMark/>
          </w:tcPr>
          <w:p w14:paraId="2534D15A" w14:textId="0077F25E" w:rsidR="0087786B" w:rsidRPr="0087786B" w:rsidRDefault="0087786B" w:rsidP="00880287">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Plan de desarrollo sostenible y digital del conjunto </w:t>
            </w:r>
            <w:r w:rsidR="00880287" w:rsidRPr="0087786B">
              <w:rPr>
                <w:rFonts w:ascii="Arial" w:eastAsiaTheme="minorHAnsi" w:hAnsi="Arial" w:cs="Arial"/>
                <w:bCs/>
                <w:lang w:eastAsia="en-US"/>
              </w:rPr>
              <w:t>histórico</w:t>
            </w:r>
            <w:r w:rsidRPr="0087786B">
              <w:rPr>
                <w:rFonts w:ascii="Arial" w:eastAsiaTheme="minorHAnsi" w:hAnsi="Arial" w:cs="Arial"/>
                <w:bCs/>
                <w:lang w:eastAsia="en-US"/>
              </w:rPr>
              <w:t xml:space="preserve">, </w:t>
            </w:r>
            <w:r w:rsidR="00880287" w:rsidRPr="0087786B">
              <w:rPr>
                <w:rFonts w:ascii="Arial" w:eastAsiaTheme="minorHAnsi" w:hAnsi="Arial" w:cs="Arial"/>
                <w:bCs/>
                <w:lang w:eastAsia="en-US"/>
              </w:rPr>
              <w:t>paleontológico</w:t>
            </w:r>
            <w:r w:rsidRPr="0087786B">
              <w:rPr>
                <w:rFonts w:ascii="Arial" w:eastAsiaTheme="minorHAnsi" w:hAnsi="Arial" w:cs="Arial"/>
                <w:bCs/>
                <w:lang w:eastAsia="en-US"/>
              </w:rPr>
              <w:t xml:space="preserve"> y natural del municipio de Loarre</w:t>
            </w:r>
          </w:p>
        </w:tc>
        <w:tc>
          <w:tcPr>
            <w:tcW w:w="1553" w:type="dxa"/>
            <w:noWrap/>
            <w:hideMark/>
          </w:tcPr>
          <w:p w14:paraId="7650220A"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1.100.000,00 €</w:t>
            </w:r>
          </w:p>
        </w:tc>
      </w:tr>
      <w:tr w:rsidR="0087786B" w:rsidRPr="0087786B" w14:paraId="41ADFD32" w14:textId="77777777" w:rsidTr="00416682">
        <w:trPr>
          <w:trHeight w:val="300"/>
        </w:trPr>
        <w:tc>
          <w:tcPr>
            <w:tcW w:w="1361" w:type="dxa"/>
            <w:noWrap/>
            <w:hideMark/>
          </w:tcPr>
          <w:p w14:paraId="7FF9D363"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Aragón</w:t>
            </w:r>
          </w:p>
        </w:tc>
        <w:tc>
          <w:tcPr>
            <w:tcW w:w="2479" w:type="dxa"/>
            <w:noWrap/>
            <w:hideMark/>
          </w:tcPr>
          <w:p w14:paraId="2E2F6A9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Comarca de Sobrarbe</w:t>
            </w:r>
          </w:p>
        </w:tc>
        <w:tc>
          <w:tcPr>
            <w:tcW w:w="3101" w:type="dxa"/>
            <w:hideMark/>
          </w:tcPr>
          <w:p w14:paraId="6C18CC7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Sobrarbe-Pirineos 365</w:t>
            </w:r>
          </w:p>
        </w:tc>
        <w:tc>
          <w:tcPr>
            <w:tcW w:w="1553" w:type="dxa"/>
            <w:noWrap/>
            <w:hideMark/>
          </w:tcPr>
          <w:p w14:paraId="0E67DDA0"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2.300.000,00 €</w:t>
            </w:r>
          </w:p>
        </w:tc>
      </w:tr>
      <w:tr w:rsidR="0087786B" w:rsidRPr="0087786B" w14:paraId="06555958" w14:textId="77777777" w:rsidTr="00416682">
        <w:trPr>
          <w:trHeight w:val="1032"/>
        </w:trPr>
        <w:tc>
          <w:tcPr>
            <w:tcW w:w="1361" w:type="dxa"/>
            <w:noWrap/>
            <w:hideMark/>
          </w:tcPr>
          <w:p w14:paraId="4AD7383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Aragón</w:t>
            </w:r>
          </w:p>
        </w:tc>
        <w:tc>
          <w:tcPr>
            <w:tcW w:w="2479" w:type="dxa"/>
            <w:noWrap/>
            <w:hideMark/>
          </w:tcPr>
          <w:p w14:paraId="3D95442B" w14:textId="77777777" w:rsidR="0087786B" w:rsidRPr="0087786B" w:rsidRDefault="0087786B" w:rsidP="0088028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Ayuntamiento de Aguaviva</w:t>
            </w:r>
          </w:p>
        </w:tc>
        <w:tc>
          <w:tcPr>
            <w:tcW w:w="3101" w:type="dxa"/>
            <w:hideMark/>
          </w:tcPr>
          <w:p w14:paraId="2264EE74" w14:textId="09255B74"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"Aiguaiva es Turismo", Estrategia de Desarrollo del municipio para su Sostenibilidad como Destino </w:t>
            </w:r>
            <w:r w:rsidR="00880287" w:rsidRPr="0087786B">
              <w:rPr>
                <w:rFonts w:ascii="Arial" w:eastAsiaTheme="minorHAnsi" w:hAnsi="Arial" w:cs="Arial"/>
                <w:bCs/>
                <w:lang w:eastAsia="en-US"/>
              </w:rPr>
              <w:t>Turístico</w:t>
            </w:r>
          </w:p>
        </w:tc>
        <w:tc>
          <w:tcPr>
            <w:tcW w:w="1553" w:type="dxa"/>
            <w:noWrap/>
            <w:hideMark/>
          </w:tcPr>
          <w:p w14:paraId="151CA0E6"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1.500.000,00 €</w:t>
            </w:r>
          </w:p>
        </w:tc>
      </w:tr>
      <w:tr w:rsidR="0087786B" w:rsidRPr="0087786B" w14:paraId="6928368A" w14:textId="77777777" w:rsidTr="00416682">
        <w:trPr>
          <w:trHeight w:val="525"/>
        </w:trPr>
        <w:tc>
          <w:tcPr>
            <w:tcW w:w="1361" w:type="dxa"/>
            <w:noWrap/>
            <w:hideMark/>
          </w:tcPr>
          <w:p w14:paraId="13514AE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Aragón</w:t>
            </w:r>
          </w:p>
        </w:tc>
        <w:tc>
          <w:tcPr>
            <w:tcW w:w="2479" w:type="dxa"/>
            <w:noWrap/>
            <w:hideMark/>
          </w:tcPr>
          <w:p w14:paraId="30B25F46" w14:textId="78921FEB" w:rsidR="0087786B" w:rsidRPr="0087786B" w:rsidRDefault="00880287" w:rsidP="00880287">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Albarracín</w:t>
            </w:r>
          </w:p>
        </w:tc>
        <w:tc>
          <w:tcPr>
            <w:tcW w:w="3101" w:type="dxa"/>
            <w:hideMark/>
          </w:tcPr>
          <w:p w14:paraId="45FDC97C" w14:textId="7C96409E"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w:t>
            </w:r>
            <w:r w:rsidR="00880287">
              <w:rPr>
                <w:rFonts w:ascii="Arial" w:eastAsiaTheme="minorHAnsi" w:hAnsi="Arial" w:cs="Arial"/>
                <w:bCs/>
                <w:lang w:eastAsia="en-US"/>
              </w:rPr>
              <w:t>nibilidad Turistica de Albarrací</w:t>
            </w:r>
            <w:r w:rsidRPr="0087786B">
              <w:rPr>
                <w:rFonts w:ascii="Arial" w:eastAsiaTheme="minorHAnsi" w:hAnsi="Arial" w:cs="Arial"/>
                <w:bCs/>
                <w:lang w:eastAsia="en-US"/>
              </w:rPr>
              <w:t>n</w:t>
            </w:r>
          </w:p>
        </w:tc>
        <w:tc>
          <w:tcPr>
            <w:tcW w:w="1553" w:type="dxa"/>
            <w:noWrap/>
            <w:hideMark/>
          </w:tcPr>
          <w:p w14:paraId="342777B5"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6FECD108" w14:textId="77777777" w:rsidTr="00416682">
        <w:trPr>
          <w:trHeight w:val="829"/>
        </w:trPr>
        <w:tc>
          <w:tcPr>
            <w:tcW w:w="1361" w:type="dxa"/>
            <w:noWrap/>
            <w:hideMark/>
          </w:tcPr>
          <w:p w14:paraId="46C13987"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Aragón</w:t>
            </w:r>
          </w:p>
        </w:tc>
        <w:tc>
          <w:tcPr>
            <w:tcW w:w="2479" w:type="dxa"/>
            <w:noWrap/>
            <w:hideMark/>
          </w:tcPr>
          <w:p w14:paraId="7DC8D15F" w14:textId="746F6375" w:rsidR="0087786B" w:rsidRPr="0087786B" w:rsidRDefault="0088028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Teruel</w:t>
            </w:r>
          </w:p>
        </w:tc>
        <w:tc>
          <w:tcPr>
            <w:tcW w:w="3101" w:type="dxa"/>
            <w:hideMark/>
          </w:tcPr>
          <w:p w14:paraId="1C1527D8" w14:textId="16C73274" w:rsidR="0087786B" w:rsidRPr="0087786B" w:rsidRDefault="00880287" w:rsidP="00880287">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Plan d</w:t>
            </w:r>
            <w:r w:rsidRPr="0087786B">
              <w:rPr>
                <w:rFonts w:ascii="Arial" w:eastAsiaTheme="minorHAnsi" w:hAnsi="Arial" w:cs="Arial"/>
                <w:bCs/>
                <w:lang w:eastAsia="en-US"/>
              </w:rPr>
              <w:t>e Cohesión, Diversificación</w:t>
            </w:r>
            <w:r>
              <w:rPr>
                <w:rFonts w:ascii="Arial" w:eastAsiaTheme="minorHAnsi" w:hAnsi="Arial" w:cs="Arial"/>
                <w:bCs/>
                <w:lang w:eastAsia="en-US"/>
              </w:rPr>
              <w:t xml:space="preserve"> y Valoración d</w:t>
            </w:r>
            <w:r w:rsidRPr="0087786B">
              <w:rPr>
                <w:rFonts w:ascii="Arial" w:eastAsiaTheme="minorHAnsi" w:hAnsi="Arial" w:cs="Arial"/>
                <w:bCs/>
                <w:lang w:eastAsia="en-US"/>
              </w:rPr>
              <w:t>e Recursos Turísticos</w:t>
            </w:r>
            <w:r>
              <w:rPr>
                <w:rFonts w:ascii="Arial" w:eastAsiaTheme="minorHAnsi" w:hAnsi="Arial" w:cs="Arial"/>
                <w:bCs/>
                <w:lang w:eastAsia="en-US"/>
              </w:rPr>
              <w:t xml:space="preserve"> d</w:t>
            </w:r>
            <w:r w:rsidRPr="0087786B">
              <w:rPr>
                <w:rFonts w:ascii="Arial" w:eastAsiaTheme="minorHAnsi" w:hAnsi="Arial" w:cs="Arial"/>
                <w:bCs/>
                <w:lang w:eastAsia="en-US"/>
              </w:rPr>
              <w:t>e Teruel</w:t>
            </w:r>
          </w:p>
        </w:tc>
        <w:tc>
          <w:tcPr>
            <w:tcW w:w="1553" w:type="dxa"/>
            <w:noWrap/>
            <w:hideMark/>
          </w:tcPr>
          <w:p w14:paraId="72A64688"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7A82187A" w14:textId="77777777" w:rsidTr="00416682">
        <w:trPr>
          <w:trHeight w:val="525"/>
        </w:trPr>
        <w:tc>
          <w:tcPr>
            <w:tcW w:w="1361" w:type="dxa"/>
            <w:noWrap/>
            <w:hideMark/>
          </w:tcPr>
          <w:p w14:paraId="6B1C0309"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Aragón</w:t>
            </w:r>
          </w:p>
        </w:tc>
        <w:tc>
          <w:tcPr>
            <w:tcW w:w="2479" w:type="dxa"/>
            <w:noWrap/>
            <w:hideMark/>
          </w:tcPr>
          <w:p w14:paraId="2CAD5619"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Comarca Comunidad de Teruel</w:t>
            </w:r>
          </w:p>
        </w:tc>
        <w:tc>
          <w:tcPr>
            <w:tcW w:w="3101" w:type="dxa"/>
            <w:hideMark/>
          </w:tcPr>
          <w:p w14:paraId="10CCD13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Comarca Comunidad de Teruel: Destino Rural Sostenible</w:t>
            </w:r>
          </w:p>
        </w:tc>
        <w:tc>
          <w:tcPr>
            <w:tcW w:w="1553" w:type="dxa"/>
            <w:noWrap/>
            <w:hideMark/>
          </w:tcPr>
          <w:p w14:paraId="1C83773D"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1.300.000,00 €</w:t>
            </w:r>
          </w:p>
        </w:tc>
      </w:tr>
      <w:tr w:rsidR="0087786B" w:rsidRPr="0087786B" w14:paraId="58AFB680" w14:textId="77777777" w:rsidTr="00416682">
        <w:trPr>
          <w:trHeight w:val="593"/>
        </w:trPr>
        <w:tc>
          <w:tcPr>
            <w:tcW w:w="1361" w:type="dxa"/>
            <w:noWrap/>
            <w:hideMark/>
          </w:tcPr>
          <w:p w14:paraId="6BF1FEC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Aragón</w:t>
            </w:r>
          </w:p>
        </w:tc>
        <w:tc>
          <w:tcPr>
            <w:tcW w:w="2479" w:type="dxa"/>
            <w:noWrap/>
            <w:hideMark/>
          </w:tcPr>
          <w:p w14:paraId="3DC8C954" w14:textId="76113E98" w:rsidR="0087786B" w:rsidRPr="0087786B" w:rsidRDefault="0088028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Comarca d</w:t>
            </w:r>
            <w:r w:rsidRPr="0087786B">
              <w:rPr>
                <w:rFonts w:ascii="Arial" w:eastAsiaTheme="minorHAnsi" w:hAnsi="Arial" w:cs="Arial"/>
                <w:bCs/>
                <w:lang w:eastAsia="en-US"/>
              </w:rPr>
              <w:t>el Jiloca</w:t>
            </w:r>
          </w:p>
        </w:tc>
        <w:tc>
          <w:tcPr>
            <w:tcW w:w="3101" w:type="dxa"/>
            <w:hideMark/>
          </w:tcPr>
          <w:p w14:paraId="5AE060AC" w14:textId="2D82AE02" w:rsidR="0087786B" w:rsidRPr="0087786B" w:rsidRDefault="00880287" w:rsidP="0088028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 xml:space="preserve">Aguas Y Tierras </w:t>
            </w:r>
            <w:r w:rsidR="0087786B" w:rsidRPr="0087786B">
              <w:rPr>
                <w:rFonts w:ascii="Arial" w:eastAsiaTheme="minorHAnsi" w:hAnsi="Arial" w:cs="Arial"/>
                <w:bCs/>
                <w:lang w:eastAsia="en-US"/>
              </w:rPr>
              <w:t xml:space="preserve">La belleza </w:t>
            </w:r>
            <w:r w:rsidRPr="0087786B">
              <w:rPr>
                <w:rFonts w:ascii="Arial" w:eastAsiaTheme="minorHAnsi" w:hAnsi="Arial" w:cs="Arial"/>
                <w:bCs/>
                <w:lang w:eastAsia="en-US"/>
              </w:rPr>
              <w:t>está</w:t>
            </w:r>
            <w:r w:rsidR="0087786B" w:rsidRPr="0087786B">
              <w:rPr>
                <w:rFonts w:ascii="Arial" w:eastAsiaTheme="minorHAnsi" w:hAnsi="Arial" w:cs="Arial"/>
                <w:bCs/>
                <w:lang w:eastAsia="en-US"/>
              </w:rPr>
              <w:t xml:space="preserve"> en el interior</w:t>
            </w:r>
            <w:r w:rsidR="0087786B" w:rsidRPr="0087786B">
              <w:rPr>
                <w:rFonts w:ascii="Arial" w:eastAsiaTheme="minorHAnsi" w:hAnsi="Arial" w:cs="Arial"/>
                <w:bCs/>
                <w:lang w:eastAsia="en-US"/>
              </w:rPr>
              <w:br/>
            </w:r>
          </w:p>
        </w:tc>
        <w:tc>
          <w:tcPr>
            <w:tcW w:w="1553" w:type="dxa"/>
            <w:noWrap/>
            <w:hideMark/>
          </w:tcPr>
          <w:p w14:paraId="6CE9996C"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1.100.000,00 €</w:t>
            </w:r>
          </w:p>
        </w:tc>
      </w:tr>
      <w:tr w:rsidR="0087786B" w:rsidRPr="0087786B" w14:paraId="6CCB4B76" w14:textId="77777777" w:rsidTr="00416682">
        <w:trPr>
          <w:trHeight w:val="780"/>
        </w:trPr>
        <w:tc>
          <w:tcPr>
            <w:tcW w:w="1361" w:type="dxa"/>
            <w:noWrap/>
            <w:hideMark/>
          </w:tcPr>
          <w:p w14:paraId="67F9267D"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Aragón</w:t>
            </w:r>
          </w:p>
        </w:tc>
        <w:tc>
          <w:tcPr>
            <w:tcW w:w="2479" w:type="dxa"/>
            <w:noWrap/>
            <w:hideMark/>
          </w:tcPr>
          <w:p w14:paraId="5C46690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Jaraba</w:t>
            </w:r>
          </w:p>
        </w:tc>
        <w:tc>
          <w:tcPr>
            <w:tcW w:w="3101" w:type="dxa"/>
            <w:hideMark/>
          </w:tcPr>
          <w:p w14:paraId="1437B5F7"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de Jaraba y las Hoces del rio Mesa</w:t>
            </w:r>
          </w:p>
        </w:tc>
        <w:tc>
          <w:tcPr>
            <w:tcW w:w="1553" w:type="dxa"/>
            <w:noWrap/>
            <w:hideMark/>
          </w:tcPr>
          <w:p w14:paraId="384C93B5"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1.700.000,00 €</w:t>
            </w:r>
          </w:p>
        </w:tc>
      </w:tr>
      <w:tr w:rsidR="0087786B" w:rsidRPr="0087786B" w14:paraId="6F440DEC" w14:textId="77777777" w:rsidTr="00416682">
        <w:trPr>
          <w:trHeight w:val="780"/>
        </w:trPr>
        <w:tc>
          <w:tcPr>
            <w:tcW w:w="1361" w:type="dxa"/>
            <w:noWrap/>
            <w:hideMark/>
          </w:tcPr>
          <w:p w14:paraId="4E1ADD5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Aragón</w:t>
            </w:r>
          </w:p>
        </w:tc>
        <w:tc>
          <w:tcPr>
            <w:tcW w:w="2479" w:type="dxa"/>
            <w:noWrap/>
            <w:hideMark/>
          </w:tcPr>
          <w:p w14:paraId="77AAF70C" w14:textId="22B2D1BA" w:rsidR="0087786B" w:rsidRPr="0087786B" w:rsidRDefault="00880287" w:rsidP="00880287">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Zaragoza</w:t>
            </w:r>
          </w:p>
        </w:tc>
        <w:tc>
          <w:tcPr>
            <w:tcW w:w="3101" w:type="dxa"/>
            <w:hideMark/>
          </w:tcPr>
          <w:p w14:paraId="74D48563" w14:textId="4499408F" w:rsidR="0087786B" w:rsidRPr="0087786B" w:rsidRDefault="0087786B" w:rsidP="0088028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 xml:space="preserve">Misión Zaragoza: Un destino </w:t>
            </w:r>
            <w:r w:rsidR="00880287" w:rsidRPr="0087786B">
              <w:rPr>
                <w:rFonts w:ascii="Arial" w:eastAsiaTheme="minorHAnsi" w:hAnsi="Arial" w:cs="Arial"/>
                <w:bCs/>
                <w:lang w:eastAsia="en-US"/>
              </w:rPr>
              <w:t>turístico</w:t>
            </w:r>
            <w:r w:rsidR="00880287">
              <w:rPr>
                <w:rFonts w:ascii="Arial" w:eastAsiaTheme="minorHAnsi" w:hAnsi="Arial" w:cs="Arial"/>
                <w:bCs/>
                <w:lang w:eastAsia="en-US"/>
              </w:rPr>
              <w:t>,</w:t>
            </w:r>
            <w:r w:rsidRPr="0087786B">
              <w:rPr>
                <w:rFonts w:ascii="Arial" w:eastAsiaTheme="minorHAnsi" w:hAnsi="Arial" w:cs="Arial"/>
                <w:bCs/>
                <w:lang w:eastAsia="en-US"/>
              </w:rPr>
              <w:t xml:space="preserve"> diversificado y sostenible</w:t>
            </w:r>
          </w:p>
        </w:tc>
        <w:tc>
          <w:tcPr>
            <w:tcW w:w="1553" w:type="dxa"/>
            <w:noWrap/>
            <w:hideMark/>
          </w:tcPr>
          <w:p w14:paraId="180E14E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3.000.000,00 €</w:t>
            </w:r>
          </w:p>
        </w:tc>
      </w:tr>
      <w:tr w:rsidR="0087786B" w:rsidRPr="0087786B" w14:paraId="219C48D0" w14:textId="77777777" w:rsidTr="00416682">
        <w:trPr>
          <w:trHeight w:val="780"/>
        </w:trPr>
        <w:tc>
          <w:tcPr>
            <w:tcW w:w="1361" w:type="dxa"/>
            <w:noWrap/>
            <w:hideMark/>
          </w:tcPr>
          <w:p w14:paraId="20D6FF3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Aragón</w:t>
            </w:r>
          </w:p>
        </w:tc>
        <w:tc>
          <w:tcPr>
            <w:tcW w:w="2479" w:type="dxa"/>
            <w:noWrap/>
            <w:hideMark/>
          </w:tcPr>
          <w:p w14:paraId="7308900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Comarca Campo de Belchite</w:t>
            </w:r>
          </w:p>
        </w:tc>
        <w:tc>
          <w:tcPr>
            <w:tcW w:w="3101" w:type="dxa"/>
            <w:hideMark/>
          </w:tcPr>
          <w:p w14:paraId="2A895FB7" w14:textId="6AD99F51" w:rsidR="0087786B" w:rsidRPr="0087786B" w:rsidRDefault="0088028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Ví</w:t>
            </w:r>
            <w:r w:rsidR="0087786B" w:rsidRPr="0087786B">
              <w:rPr>
                <w:rFonts w:ascii="Arial" w:eastAsiaTheme="minorHAnsi" w:hAnsi="Arial" w:cs="Arial"/>
                <w:bCs/>
                <w:lang w:eastAsia="en-US"/>
              </w:rPr>
              <w:t>a verde en la Comarca Campo de Belchite: el tren de la sostenibilidad.</w:t>
            </w:r>
          </w:p>
        </w:tc>
        <w:tc>
          <w:tcPr>
            <w:tcW w:w="1553" w:type="dxa"/>
            <w:noWrap/>
            <w:hideMark/>
          </w:tcPr>
          <w:p w14:paraId="7329B1F0"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2.200.000,00 €</w:t>
            </w:r>
          </w:p>
        </w:tc>
      </w:tr>
      <w:tr w:rsidR="0087786B" w:rsidRPr="0087786B" w14:paraId="5A0EAFAC" w14:textId="77777777" w:rsidTr="00416682">
        <w:trPr>
          <w:trHeight w:val="1348"/>
        </w:trPr>
        <w:tc>
          <w:tcPr>
            <w:tcW w:w="1361" w:type="dxa"/>
            <w:noWrap/>
            <w:hideMark/>
          </w:tcPr>
          <w:p w14:paraId="03A21A8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Aragón</w:t>
            </w:r>
          </w:p>
        </w:tc>
        <w:tc>
          <w:tcPr>
            <w:tcW w:w="2479" w:type="dxa"/>
            <w:noWrap/>
            <w:hideMark/>
          </w:tcPr>
          <w:p w14:paraId="7CE03AAD" w14:textId="6260D808" w:rsidR="0087786B" w:rsidRPr="0087786B" w:rsidRDefault="0088028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Comarca Ribera Baja d</w:t>
            </w:r>
            <w:r w:rsidRPr="0087786B">
              <w:rPr>
                <w:rFonts w:ascii="Arial" w:eastAsiaTheme="minorHAnsi" w:hAnsi="Arial" w:cs="Arial"/>
                <w:bCs/>
                <w:lang w:eastAsia="en-US"/>
              </w:rPr>
              <w:t>el Ebro</w:t>
            </w:r>
          </w:p>
        </w:tc>
        <w:tc>
          <w:tcPr>
            <w:tcW w:w="3101" w:type="dxa"/>
            <w:hideMark/>
          </w:tcPr>
          <w:p w14:paraId="4138014C" w14:textId="2C4C9A58"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"El agua que nos une", proyecto integral para la </w:t>
            </w:r>
            <w:r w:rsidR="00880287" w:rsidRPr="0087786B">
              <w:rPr>
                <w:rFonts w:ascii="Arial" w:eastAsiaTheme="minorHAnsi" w:hAnsi="Arial" w:cs="Arial"/>
                <w:bCs/>
                <w:lang w:eastAsia="en-US"/>
              </w:rPr>
              <w:t>dinamización</w:t>
            </w:r>
            <w:r w:rsidRPr="0087786B">
              <w:rPr>
                <w:rFonts w:ascii="Arial" w:eastAsiaTheme="minorHAnsi" w:hAnsi="Arial" w:cs="Arial"/>
                <w:bCs/>
                <w:lang w:eastAsia="en-US"/>
              </w:rPr>
              <w:t xml:space="preserve">, </w:t>
            </w:r>
            <w:r w:rsidR="00880287" w:rsidRPr="0087786B">
              <w:rPr>
                <w:rFonts w:ascii="Arial" w:eastAsiaTheme="minorHAnsi" w:hAnsi="Arial" w:cs="Arial"/>
                <w:bCs/>
                <w:lang w:eastAsia="en-US"/>
              </w:rPr>
              <w:t>difusión</w:t>
            </w:r>
            <w:r w:rsidRPr="0087786B">
              <w:rPr>
                <w:rFonts w:ascii="Arial" w:eastAsiaTheme="minorHAnsi" w:hAnsi="Arial" w:cs="Arial"/>
                <w:bCs/>
                <w:lang w:eastAsia="en-US"/>
              </w:rPr>
              <w:t xml:space="preserve"> y </w:t>
            </w:r>
            <w:r w:rsidR="00880287" w:rsidRPr="0087786B">
              <w:rPr>
                <w:rFonts w:ascii="Arial" w:eastAsiaTheme="minorHAnsi" w:hAnsi="Arial" w:cs="Arial"/>
                <w:bCs/>
                <w:lang w:eastAsia="en-US"/>
              </w:rPr>
              <w:t>promoción</w:t>
            </w:r>
            <w:r w:rsidRPr="0087786B">
              <w:rPr>
                <w:rFonts w:ascii="Arial" w:eastAsiaTheme="minorHAnsi" w:hAnsi="Arial" w:cs="Arial"/>
                <w:bCs/>
                <w:lang w:eastAsia="en-US"/>
              </w:rPr>
              <w:t xml:space="preserve"> de los recursos culturales y naturales vinculados al rio Ebro.</w:t>
            </w:r>
          </w:p>
        </w:tc>
        <w:tc>
          <w:tcPr>
            <w:tcW w:w="1553" w:type="dxa"/>
            <w:noWrap/>
            <w:hideMark/>
          </w:tcPr>
          <w:p w14:paraId="1C96A398"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1.100.000,00 €</w:t>
            </w:r>
          </w:p>
        </w:tc>
      </w:tr>
      <w:tr w:rsidR="0087786B" w:rsidRPr="0087786B" w14:paraId="5F5FEC88" w14:textId="77777777" w:rsidTr="00416682">
        <w:trPr>
          <w:trHeight w:val="300"/>
        </w:trPr>
        <w:tc>
          <w:tcPr>
            <w:tcW w:w="1361" w:type="dxa"/>
            <w:noWrap/>
            <w:hideMark/>
          </w:tcPr>
          <w:p w14:paraId="00762ED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Aragón</w:t>
            </w:r>
          </w:p>
        </w:tc>
        <w:tc>
          <w:tcPr>
            <w:tcW w:w="2479" w:type="dxa"/>
            <w:noWrap/>
            <w:hideMark/>
          </w:tcPr>
          <w:p w14:paraId="50EF509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Oficina técnica</w:t>
            </w:r>
          </w:p>
        </w:tc>
        <w:tc>
          <w:tcPr>
            <w:tcW w:w="3101" w:type="dxa"/>
            <w:hideMark/>
          </w:tcPr>
          <w:p w14:paraId="07F34E9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w:t>
            </w:r>
          </w:p>
        </w:tc>
        <w:tc>
          <w:tcPr>
            <w:tcW w:w="1553" w:type="dxa"/>
            <w:noWrap/>
            <w:hideMark/>
          </w:tcPr>
          <w:p w14:paraId="1C1B5386"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440.000,00 €</w:t>
            </w:r>
          </w:p>
        </w:tc>
      </w:tr>
      <w:tr w:rsidR="0087786B" w:rsidRPr="0087786B" w14:paraId="488F6B17" w14:textId="77777777" w:rsidTr="00416682">
        <w:trPr>
          <w:trHeight w:val="819"/>
        </w:trPr>
        <w:tc>
          <w:tcPr>
            <w:tcW w:w="1361" w:type="dxa"/>
            <w:noWrap/>
            <w:hideMark/>
          </w:tcPr>
          <w:p w14:paraId="7E0207BA"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Asturias, Principado de</w:t>
            </w:r>
          </w:p>
        </w:tc>
        <w:tc>
          <w:tcPr>
            <w:tcW w:w="2479" w:type="dxa"/>
            <w:noWrap/>
            <w:hideMark/>
          </w:tcPr>
          <w:p w14:paraId="2EEF611C" w14:textId="3A209767" w:rsidR="0087786B" w:rsidRPr="0087786B" w:rsidRDefault="00880287"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Asociación</w:t>
            </w:r>
            <w:r>
              <w:rPr>
                <w:rFonts w:ascii="Arial" w:eastAsiaTheme="minorHAnsi" w:hAnsi="Arial" w:cs="Arial"/>
                <w:bCs/>
                <w:lang w:eastAsia="en-US"/>
              </w:rPr>
              <w:t xml:space="preserve"> desarrollo rural Montaña Central d</w:t>
            </w:r>
            <w:r w:rsidRPr="0087786B">
              <w:rPr>
                <w:rFonts w:ascii="Arial" w:eastAsiaTheme="minorHAnsi" w:hAnsi="Arial" w:cs="Arial"/>
                <w:bCs/>
                <w:lang w:eastAsia="en-US"/>
              </w:rPr>
              <w:t>e Asturias</w:t>
            </w:r>
          </w:p>
        </w:tc>
        <w:tc>
          <w:tcPr>
            <w:tcW w:w="3101" w:type="dxa"/>
            <w:hideMark/>
          </w:tcPr>
          <w:p w14:paraId="306D3070" w14:textId="05B87A88" w:rsidR="0087786B" w:rsidRPr="0087786B" w:rsidRDefault="00D55268"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w:t>
            </w:r>
            <w:r w:rsidRPr="0087786B">
              <w:rPr>
                <w:rFonts w:ascii="Arial" w:eastAsiaTheme="minorHAnsi" w:hAnsi="Arial" w:cs="Arial"/>
                <w:bCs/>
                <w:lang w:eastAsia="en-US"/>
              </w:rPr>
              <w:t>de la comarca montaña</w:t>
            </w:r>
            <w:r>
              <w:rPr>
                <w:rFonts w:ascii="Arial" w:eastAsiaTheme="minorHAnsi" w:hAnsi="Arial" w:cs="Arial"/>
                <w:bCs/>
                <w:lang w:eastAsia="en-US"/>
              </w:rPr>
              <w:t xml:space="preserve"> central de A</w:t>
            </w:r>
            <w:r w:rsidRPr="0087786B">
              <w:rPr>
                <w:rFonts w:ascii="Arial" w:eastAsiaTheme="minorHAnsi" w:hAnsi="Arial" w:cs="Arial"/>
                <w:bCs/>
                <w:lang w:eastAsia="en-US"/>
              </w:rPr>
              <w:t>sturias</w:t>
            </w:r>
          </w:p>
        </w:tc>
        <w:tc>
          <w:tcPr>
            <w:tcW w:w="1553" w:type="dxa"/>
            <w:noWrap/>
            <w:hideMark/>
          </w:tcPr>
          <w:p w14:paraId="67E7F42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3.967.182,00 €</w:t>
            </w:r>
          </w:p>
        </w:tc>
      </w:tr>
      <w:tr w:rsidR="0087786B" w:rsidRPr="0087786B" w14:paraId="5CD988DF" w14:textId="77777777" w:rsidTr="00416682">
        <w:trPr>
          <w:trHeight w:val="780"/>
        </w:trPr>
        <w:tc>
          <w:tcPr>
            <w:tcW w:w="1361" w:type="dxa"/>
            <w:noWrap/>
            <w:hideMark/>
          </w:tcPr>
          <w:p w14:paraId="410C3E27"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Asturias, Principado de</w:t>
            </w:r>
          </w:p>
        </w:tc>
        <w:tc>
          <w:tcPr>
            <w:tcW w:w="2479" w:type="dxa"/>
            <w:noWrap/>
            <w:hideMark/>
          </w:tcPr>
          <w:p w14:paraId="0DB92E1F" w14:textId="174E82A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Ayuntamiento de </w:t>
            </w:r>
            <w:r w:rsidR="00D55268" w:rsidRPr="0087786B">
              <w:rPr>
                <w:rFonts w:ascii="Arial" w:eastAsiaTheme="minorHAnsi" w:hAnsi="Arial" w:cs="Arial"/>
                <w:bCs/>
                <w:lang w:eastAsia="en-US"/>
              </w:rPr>
              <w:t>Avilés</w:t>
            </w:r>
          </w:p>
        </w:tc>
        <w:tc>
          <w:tcPr>
            <w:tcW w:w="3101" w:type="dxa"/>
            <w:hideMark/>
          </w:tcPr>
          <w:p w14:paraId="142B0779" w14:textId="3203742C"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Plan de Sostenibilidad Turistica en Destino: </w:t>
            </w:r>
            <w:r w:rsidR="00D55268" w:rsidRPr="0087786B">
              <w:rPr>
                <w:rFonts w:ascii="Arial" w:eastAsiaTheme="minorHAnsi" w:hAnsi="Arial" w:cs="Arial"/>
                <w:bCs/>
                <w:lang w:eastAsia="en-US"/>
              </w:rPr>
              <w:t>Avilés</w:t>
            </w:r>
            <w:r w:rsidRPr="0087786B">
              <w:rPr>
                <w:rFonts w:ascii="Arial" w:eastAsiaTheme="minorHAnsi" w:hAnsi="Arial" w:cs="Arial"/>
                <w:bCs/>
                <w:lang w:eastAsia="en-US"/>
              </w:rPr>
              <w:t xml:space="preserve">, Patrimonio </w:t>
            </w:r>
            <w:r w:rsidR="00D55268" w:rsidRPr="0087786B">
              <w:rPr>
                <w:rFonts w:ascii="Arial" w:eastAsiaTheme="minorHAnsi" w:hAnsi="Arial" w:cs="Arial"/>
                <w:bCs/>
                <w:lang w:eastAsia="en-US"/>
              </w:rPr>
              <w:t>Histórico</w:t>
            </w:r>
            <w:r w:rsidRPr="0087786B">
              <w:rPr>
                <w:rFonts w:ascii="Arial" w:eastAsiaTheme="minorHAnsi" w:hAnsi="Arial" w:cs="Arial"/>
                <w:bCs/>
                <w:lang w:eastAsia="en-US"/>
              </w:rPr>
              <w:t xml:space="preserve"> y Natural</w:t>
            </w:r>
          </w:p>
        </w:tc>
        <w:tc>
          <w:tcPr>
            <w:tcW w:w="1553" w:type="dxa"/>
            <w:noWrap/>
            <w:hideMark/>
          </w:tcPr>
          <w:p w14:paraId="51CA66E0"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2.100.000,00 €</w:t>
            </w:r>
          </w:p>
        </w:tc>
      </w:tr>
      <w:tr w:rsidR="0087786B" w:rsidRPr="0087786B" w14:paraId="7D94305E" w14:textId="77777777" w:rsidTr="00416682">
        <w:trPr>
          <w:trHeight w:val="300"/>
        </w:trPr>
        <w:tc>
          <w:tcPr>
            <w:tcW w:w="1361" w:type="dxa"/>
            <w:noWrap/>
            <w:hideMark/>
          </w:tcPr>
          <w:p w14:paraId="2064C9A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Asturias, Principado de</w:t>
            </w:r>
          </w:p>
        </w:tc>
        <w:tc>
          <w:tcPr>
            <w:tcW w:w="2479" w:type="dxa"/>
            <w:noWrap/>
            <w:hideMark/>
          </w:tcPr>
          <w:p w14:paraId="5597C734" w14:textId="729D3413" w:rsidR="0087786B" w:rsidRPr="0087786B" w:rsidRDefault="00D55268"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Oviedo</w:t>
            </w:r>
          </w:p>
        </w:tc>
        <w:tc>
          <w:tcPr>
            <w:tcW w:w="3101" w:type="dxa"/>
            <w:hideMark/>
          </w:tcPr>
          <w:p w14:paraId="3AC20C0E"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Oviedo, Origen del Camino</w:t>
            </w:r>
          </w:p>
        </w:tc>
        <w:tc>
          <w:tcPr>
            <w:tcW w:w="1553" w:type="dxa"/>
            <w:noWrap/>
            <w:hideMark/>
          </w:tcPr>
          <w:p w14:paraId="415539B8"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2.100.000,00 €</w:t>
            </w:r>
          </w:p>
        </w:tc>
      </w:tr>
      <w:tr w:rsidR="0087786B" w:rsidRPr="0087786B" w14:paraId="31118216" w14:textId="77777777" w:rsidTr="00416682">
        <w:trPr>
          <w:trHeight w:val="525"/>
        </w:trPr>
        <w:tc>
          <w:tcPr>
            <w:tcW w:w="1361" w:type="dxa"/>
            <w:noWrap/>
            <w:hideMark/>
          </w:tcPr>
          <w:p w14:paraId="39106EE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Asturias, Principado de</w:t>
            </w:r>
          </w:p>
        </w:tc>
        <w:tc>
          <w:tcPr>
            <w:tcW w:w="2479" w:type="dxa"/>
            <w:noWrap/>
            <w:hideMark/>
          </w:tcPr>
          <w:p w14:paraId="467B44FF" w14:textId="07F9B70F" w:rsidR="0087786B" w:rsidRPr="0087786B" w:rsidRDefault="00D55268" w:rsidP="00D55268">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Ayuntamiento de ribadesella</w:t>
            </w:r>
          </w:p>
        </w:tc>
        <w:tc>
          <w:tcPr>
            <w:tcW w:w="3101" w:type="dxa"/>
            <w:hideMark/>
          </w:tcPr>
          <w:p w14:paraId="0212C38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Ribadesella, playa de los Picos de Europa</w:t>
            </w:r>
          </w:p>
        </w:tc>
        <w:tc>
          <w:tcPr>
            <w:tcW w:w="1553" w:type="dxa"/>
            <w:noWrap/>
            <w:hideMark/>
          </w:tcPr>
          <w:p w14:paraId="24E2EFAD"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1.822.500,00 €</w:t>
            </w:r>
          </w:p>
        </w:tc>
      </w:tr>
      <w:tr w:rsidR="0087786B" w:rsidRPr="0087786B" w14:paraId="3A326FB2" w14:textId="77777777" w:rsidTr="00416682">
        <w:trPr>
          <w:trHeight w:val="1112"/>
        </w:trPr>
        <w:tc>
          <w:tcPr>
            <w:tcW w:w="1361" w:type="dxa"/>
            <w:noWrap/>
            <w:hideMark/>
          </w:tcPr>
          <w:p w14:paraId="07B8665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Asturias, Principado de</w:t>
            </w:r>
          </w:p>
        </w:tc>
        <w:tc>
          <w:tcPr>
            <w:tcW w:w="2479" w:type="dxa"/>
            <w:noWrap/>
            <w:hideMark/>
          </w:tcPr>
          <w:p w14:paraId="483B54CD"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Municipios de la CA de Asturias</w:t>
            </w:r>
          </w:p>
        </w:tc>
        <w:tc>
          <w:tcPr>
            <w:tcW w:w="3101" w:type="dxa"/>
            <w:hideMark/>
          </w:tcPr>
          <w:p w14:paraId="2731089A" w14:textId="3F186FEE" w:rsidR="0087786B" w:rsidRPr="0087786B" w:rsidRDefault="0087786B" w:rsidP="00D55268">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w:t>
            </w:r>
            <w:r w:rsidR="00D55268">
              <w:rPr>
                <w:rFonts w:ascii="Arial" w:eastAsiaTheme="minorHAnsi" w:hAnsi="Arial" w:cs="Arial"/>
                <w:bCs/>
                <w:lang w:eastAsia="en-US"/>
              </w:rPr>
              <w:t>CD</w:t>
            </w:r>
            <w:r w:rsidRPr="0087786B">
              <w:rPr>
                <w:rFonts w:ascii="Arial" w:eastAsiaTheme="minorHAnsi" w:hAnsi="Arial" w:cs="Arial"/>
                <w:bCs/>
                <w:lang w:eastAsia="en-US"/>
              </w:rPr>
              <w:t xml:space="preserve"> para la sostenibilidad de la actividad turística en las aguas continentales del Principado de Asturias</w:t>
            </w:r>
          </w:p>
        </w:tc>
        <w:tc>
          <w:tcPr>
            <w:tcW w:w="1553" w:type="dxa"/>
            <w:noWrap/>
            <w:hideMark/>
          </w:tcPr>
          <w:p w14:paraId="1F23C467"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1.500.000,00 €</w:t>
            </w:r>
          </w:p>
        </w:tc>
      </w:tr>
      <w:tr w:rsidR="0087786B" w:rsidRPr="0087786B" w14:paraId="06A51532" w14:textId="77777777" w:rsidTr="00416682">
        <w:trPr>
          <w:trHeight w:val="780"/>
        </w:trPr>
        <w:tc>
          <w:tcPr>
            <w:tcW w:w="1361" w:type="dxa"/>
            <w:noWrap/>
            <w:hideMark/>
          </w:tcPr>
          <w:p w14:paraId="3BF3D60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Asturias, Principado de</w:t>
            </w:r>
          </w:p>
        </w:tc>
        <w:tc>
          <w:tcPr>
            <w:tcW w:w="2479" w:type="dxa"/>
            <w:noWrap/>
            <w:hideMark/>
          </w:tcPr>
          <w:p w14:paraId="1467C17D"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Municipios de la CA de Asturias</w:t>
            </w:r>
          </w:p>
        </w:tc>
        <w:tc>
          <w:tcPr>
            <w:tcW w:w="3101" w:type="dxa"/>
            <w:hideMark/>
          </w:tcPr>
          <w:p w14:paraId="6B768930" w14:textId="427CEFBC" w:rsidR="0087786B" w:rsidRPr="0087786B" w:rsidRDefault="00D55268"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ACD </w:t>
            </w:r>
            <w:r w:rsidR="0087786B" w:rsidRPr="0087786B">
              <w:rPr>
                <w:rFonts w:ascii="Arial" w:eastAsiaTheme="minorHAnsi" w:hAnsi="Arial" w:cs="Arial"/>
                <w:bCs/>
                <w:lang w:eastAsia="en-US"/>
              </w:rPr>
              <w:t>Consolidación de productos turísticos clave del destino Asturias</w:t>
            </w:r>
          </w:p>
        </w:tc>
        <w:tc>
          <w:tcPr>
            <w:tcW w:w="1553" w:type="dxa"/>
            <w:noWrap/>
            <w:hideMark/>
          </w:tcPr>
          <w:p w14:paraId="3D79D9CB"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6.530.318,00 €</w:t>
            </w:r>
          </w:p>
        </w:tc>
      </w:tr>
      <w:tr w:rsidR="0087786B" w:rsidRPr="0087786B" w14:paraId="0EECE8B0" w14:textId="77777777" w:rsidTr="00416682">
        <w:trPr>
          <w:trHeight w:val="525"/>
        </w:trPr>
        <w:tc>
          <w:tcPr>
            <w:tcW w:w="1361" w:type="dxa"/>
            <w:noWrap/>
            <w:hideMark/>
          </w:tcPr>
          <w:p w14:paraId="062AC77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Canarias</w:t>
            </w:r>
          </w:p>
        </w:tc>
        <w:tc>
          <w:tcPr>
            <w:tcW w:w="2479" w:type="dxa"/>
            <w:noWrap/>
            <w:hideMark/>
          </w:tcPr>
          <w:p w14:paraId="3233628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La Oliva</w:t>
            </w:r>
          </w:p>
        </w:tc>
        <w:tc>
          <w:tcPr>
            <w:tcW w:w="3101" w:type="dxa"/>
            <w:hideMark/>
          </w:tcPr>
          <w:p w14:paraId="785761ED"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"Naturalmente La Oliva"</w:t>
            </w:r>
          </w:p>
        </w:tc>
        <w:tc>
          <w:tcPr>
            <w:tcW w:w="1553" w:type="dxa"/>
            <w:noWrap/>
            <w:hideMark/>
          </w:tcPr>
          <w:p w14:paraId="4B54CA97"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5.991.345,00 €</w:t>
            </w:r>
          </w:p>
        </w:tc>
      </w:tr>
      <w:tr w:rsidR="0087786B" w:rsidRPr="0087786B" w14:paraId="139CCEE7" w14:textId="77777777" w:rsidTr="00416682">
        <w:trPr>
          <w:trHeight w:val="525"/>
        </w:trPr>
        <w:tc>
          <w:tcPr>
            <w:tcW w:w="1361" w:type="dxa"/>
            <w:noWrap/>
            <w:hideMark/>
          </w:tcPr>
          <w:p w14:paraId="31A755A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Canarias</w:t>
            </w:r>
          </w:p>
        </w:tc>
        <w:tc>
          <w:tcPr>
            <w:tcW w:w="2479" w:type="dxa"/>
            <w:noWrap/>
            <w:hideMark/>
          </w:tcPr>
          <w:p w14:paraId="7B8D6D22" w14:textId="31950486"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Ayuntamiento de </w:t>
            </w:r>
            <w:r w:rsidR="00D55268" w:rsidRPr="0087786B">
              <w:rPr>
                <w:rFonts w:ascii="Arial" w:eastAsiaTheme="minorHAnsi" w:hAnsi="Arial" w:cs="Arial"/>
                <w:bCs/>
                <w:lang w:eastAsia="en-US"/>
              </w:rPr>
              <w:t>Pájara</w:t>
            </w:r>
          </w:p>
        </w:tc>
        <w:tc>
          <w:tcPr>
            <w:tcW w:w="3101" w:type="dxa"/>
            <w:hideMark/>
          </w:tcPr>
          <w:p w14:paraId="7BA0BB84" w14:textId="155102F4"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Plan de Sostenibilidad Turistica en Destinos de </w:t>
            </w:r>
            <w:r w:rsidR="00D55268" w:rsidRPr="0087786B">
              <w:rPr>
                <w:rFonts w:ascii="Arial" w:eastAsiaTheme="minorHAnsi" w:hAnsi="Arial" w:cs="Arial"/>
                <w:bCs/>
                <w:lang w:eastAsia="en-US"/>
              </w:rPr>
              <w:t>Pájara</w:t>
            </w:r>
          </w:p>
        </w:tc>
        <w:tc>
          <w:tcPr>
            <w:tcW w:w="1553" w:type="dxa"/>
            <w:noWrap/>
            <w:hideMark/>
          </w:tcPr>
          <w:p w14:paraId="6046B50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2.042.000,00 €</w:t>
            </w:r>
          </w:p>
        </w:tc>
      </w:tr>
      <w:tr w:rsidR="0087786B" w:rsidRPr="0087786B" w14:paraId="64E72207" w14:textId="77777777" w:rsidTr="00416682">
        <w:trPr>
          <w:trHeight w:val="515"/>
        </w:trPr>
        <w:tc>
          <w:tcPr>
            <w:tcW w:w="1361" w:type="dxa"/>
            <w:noWrap/>
            <w:hideMark/>
          </w:tcPr>
          <w:p w14:paraId="01BA2E37"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Canarias</w:t>
            </w:r>
          </w:p>
        </w:tc>
        <w:tc>
          <w:tcPr>
            <w:tcW w:w="2479" w:type="dxa"/>
            <w:noWrap/>
            <w:hideMark/>
          </w:tcPr>
          <w:p w14:paraId="5E8BB39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Tejeda</w:t>
            </w:r>
          </w:p>
        </w:tc>
        <w:tc>
          <w:tcPr>
            <w:tcW w:w="3101" w:type="dxa"/>
            <w:hideMark/>
          </w:tcPr>
          <w:p w14:paraId="3075B03B" w14:textId="119F2975" w:rsidR="0087786B" w:rsidRPr="0087786B" w:rsidRDefault="00D55268"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de Tejeda - Equilibrio Natural</w:t>
            </w:r>
          </w:p>
        </w:tc>
        <w:tc>
          <w:tcPr>
            <w:tcW w:w="1553" w:type="dxa"/>
            <w:noWrap/>
            <w:hideMark/>
          </w:tcPr>
          <w:p w14:paraId="2DF68207"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3.877.287,84 €</w:t>
            </w:r>
          </w:p>
        </w:tc>
      </w:tr>
      <w:tr w:rsidR="0087786B" w:rsidRPr="0087786B" w14:paraId="2082A7C0" w14:textId="77777777" w:rsidTr="00416682">
        <w:trPr>
          <w:trHeight w:val="300"/>
        </w:trPr>
        <w:tc>
          <w:tcPr>
            <w:tcW w:w="1361" w:type="dxa"/>
            <w:noWrap/>
            <w:hideMark/>
          </w:tcPr>
          <w:p w14:paraId="12115E6E"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Canarias</w:t>
            </w:r>
          </w:p>
        </w:tc>
        <w:tc>
          <w:tcPr>
            <w:tcW w:w="2479" w:type="dxa"/>
            <w:noWrap/>
            <w:hideMark/>
          </w:tcPr>
          <w:p w14:paraId="3F606D6A" w14:textId="7A2ABCFB" w:rsidR="0087786B" w:rsidRPr="0087786B" w:rsidRDefault="00D55268"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Cabildo Insular d</w:t>
            </w:r>
            <w:r w:rsidRPr="0087786B">
              <w:rPr>
                <w:rFonts w:ascii="Arial" w:eastAsiaTheme="minorHAnsi" w:hAnsi="Arial" w:cs="Arial"/>
                <w:bCs/>
                <w:lang w:eastAsia="en-US"/>
              </w:rPr>
              <w:t>e Gran Canaria</w:t>
            </w:r>
          </w:p>
        </w:tc>
        <w:tc>
          <w:tcPr>
            <w:tcW w:w="3101" w:type="dxa"/>
            <w:hideMark/>
          </w:tcPr>
          <w:p w14:paraId="715251F9"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ImpulsaMaspalomas</w:t>
            </w:r>
          </w:p>
        </w:tc>
        <w:tc>
          <w:tcPr>
            <w:tcW w:w="1553" w:type="dxa"/>
            <w:noWrap/>
            <w:hideMark/>
          </w:tcPr>
          <w:p w14:paraId="7E1FAED2"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5.500.000,00 €</w:t>
            </w:r>
          </w:p>
        </w:tc>
      </w:tr>
      <w:tr w:rsidR="0087786B" w:rsidRPr="0087786B" w14:paraId="18CD5972" w14:textId="77777777" w:rsidTr="00416682">
        <w:trPr>
          <w:trHeight w:val="525"/>
        </w:trPr>
        <w:tc>
          <w:tcPr>
            <w:tcW w:w="1361" w:type="dxa"/>
            <w:noWrap/>
            <w:hideMark/>
          </w:tcPr>
          <w:p w14:paraId="4F6A3529"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Canarias</w:t>
            </w:r>
          </w:p>
        </w:tc>
        <w:tc>
          <w:tcPr>
            <w:tcW w:w="2479" w:type="dxa"/>
            <w:noWrap/>
            <w:hideMark/>
          </w:tcPr>
          <w:p w14:paraId="3886398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Cabildo Insular de Lanzarote</w:t>
            </w:r>
          </w:p>
        </w:tc>
        <w:tc>
          <w:tcPr>
            <w:tcW w:w="3101" w:type="dxa"/>
            <w:hideMark/>
          </w:tcPr>
          <w:p w14:paraId="10594BB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en Destino de Lanzarote</w:t>
            </w:r>
          </w:p>
        </w:tc>
        <w:tc>
          <w:tcPr>
            <w:tcW w:w="1553" w:type="dxa"/>
            <w:noWrap/>
            <w:hideMark/>
          </w:tcPr>
          <w:p w14:paraId="4CBA0E8F"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8.215.826,00 €</w:t>
            </w:r>
          </w:p>
        </w:tc>
      </w:tr>
      <w:tr w:rsidR="0087786B" w:rsidRPr="0087786B" w14:paraId="467CF870" w14:textId="77777777" w:rsidTr="00416682">
        <w:trPr>
          <w:trHeight w:val="596"/>
        </w:trPr>
        <w:tc>
          <w:tcPr>
            <w:tcW w:w="1361" w:type="dxa"/>
            <w:noWrap/>
            <w:hideMark/>
          </w:tcPr>
          <w:p w14:paraId="18ED278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Canarias</w:t>
            </w:r>
          </w:p>
        </w:tc>
        <w:tc>
          <w:tcPr>
            <w:tcW w:w="2479" w:type="dxa"/>
            <w:noWrap/>
            <w:hideMark/>
          </w:tcPr>
          <w:p w14:paraId="5D1354D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Candelaria</w:t>
            </w:r>
          </w:p>
        </w:tc>
        <w:tc>
          <w:tcPr>
            <w:tcW w:w="3101" w:type="dxa"/>
            <w:hideMark/>
          </w:tcPr>
          <w:p w14:paraId="49A9B4C9" w14:textId="63AC7D32"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Plan de Sostenibilidad Turistica en Destino </w:t>
            </w:r>
            <w:r w:rsidR="00D55268" w:rsidRPr="0087786B">
              <w:rPr>
                <w:rFonts w:ascii="Arial" w:eastAsiaTheme="minorHAnsi" w:hAnsi="Arial" w:cs="Arial"/>
                <w:bCs/>
                <w:lang w:eastAsia="en-US"/>
              </w:rPr>
              <w:t>"Candelaria Viva"</w:t>
            </w:r>
          </w:p>
        </w:tc>
        <w:tc>
          <w:tcPr>
            <w:tcW w:w="1553" w:type="dxa"/>
            <w:noWrap/>
            <w:hideMark/>
          </w:tcPr>
          <w:p w14:paraId="0E895B37"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2.950.000,00 €</w:t>
            </w:r>
          </w:p>
        </w:tc>
      </w:tr>
      <w:tr w:rsidR="0087786B" w:rsidRPr="0087786B" w14:paraId="2D3364B8" w14:textId="77777777" w:rsidTr="00416682">
        <w:trPr>
          <w:trHeight w:val="525"/>
        </w:trPr>
        <w:tc>
          <w:tcPr>
            <w:tcW w:w="1361" w:type="dxa"/>
            <w:noWrap/>
            <w:hideMark/>
          </w:tcPr>
          <w:p w14:paraId="4353C80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Canarias</w:t>
            </w:r>
          </w:p>
        </w:tc>
        <w:tc>
          <w:tcPr>
            <w:tcW w:w="2479" w:type="dxa"/>
            <w:noWrap/>
            <w:hideMark/>
          </w:tcPr>
          <w:p w14:paraId="002D077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Vallehermoso</w:t>
            </w:r>
          </w:p>
        </w:tc>
        <w:tc>
          <w:tcPr>
            <w:tcW w:w="3101" w:type="dxa"/>
            <w:hideMark/>
          </w:tcPr>
          <w:p w14:paraId="5A832030" w14:textId="4FA4B5A1" w:rsidR="0087786B" w:rsidRPr="0087786B" w:rsidRDefault="00D55268"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 V</w:t>
            </w:r>
            <w:r w:rsidRPr="0087786B">
              <w:rPr>
                <w:rFonts w:ascii="Arial" w:eastAsiaTheme="minorHAnsi" w:hAnsi="Arial" w:cs="Arial"/>
                <w:bCs/>
                <w:lang w:eastAsia="en-US"/>
              </w:rPr>
              <w:t>allehermoso "guarapeo"</w:t>
            </w:r>
          </w:p>
        </w:tc>
        <w:tc>
          <w:tcPr>
            <w:tcW w:w="1553" w:type="dxa"/>
            <w:noWrap/>
            <w:hideMark/>
          </w:tcPr>
          <w:p w14:paraId="7376BCBC"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3.835.000,00 €</w:t>
            </w:r>
          </w:p>
        </w:tc>
      </w:tr>
      <w:tr w:rsidR="0087786B" w:rsidRPr="0087786B" w14:paraId="46AC7294" w14:textId="77777777" w:rsidTr="00416682">
        <w:trPr>
          <w:trHeight w:val="300"/>
        </w:trPr>
        <w:tc>
          <w:tcPr>
            <w:tcW w:w="1361" w:type="dxa"/>
            <w:noWrap/>
            <w:hideMark/>
          </w:tcPr>
          <w:p w14:paraId="27ABBA6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Canarias</w:t>
            </w:r>
          </w:p>
        </w:tc>
        <w:tc>
          <w:tcPr>
            <w:tcW w:w="2479" w:type="dxa"/>
            <w:noWrap/>
            <w:hideMark/>
          </w:tcPr>
          <w:p w14:paraId="021A561D" w14:textId="53F52214" w:rsidR="0087786B" w:rsidRPr="0087786B" w:rsidRDefault="007B47E3"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Entidades Locales</w:t>
            </w:r>
            <w:r w:rsidR="0087786B" w:rsidRPr="0087786B">
              <w:rPr>
                <w:rFonts w:ascii="Arial" w:eastAsiaTheme="minorHAnsi" w:hAnsi="Arial" w:cs="Arial"/>
                <w:bCs/>
                <w:lang w:eastAsia="en-US"/>
              </w:rPr>
              <w:t xml:space="preserve"> de la CA de Canarias</w:t>
            </w:r>
          </w:p>
        </w:tc>
        <w:tc>
          <w:tcPr>
            <w:tcW w:w="3101" w:type="dxa"/>
            <w:hideMark/>
          </w:tcPr>
          <w:p w14:paraId="47664A76" w14:textId="5BBEC0A2" w:rsidR="0087786B" w:rsidRPr="0087786B" w:rsidRDefault="00D55268"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ACD </w:t>
            </w:r>
            <w:r w:rsidR="0087786B" w:rsidRPr="0087786B">
              <w:rPr>
                <w:rFonts w:ascii="Arial" w:eastAsiaTheme="minorHAnsi" w:hAnsi="Arial" w:cs="Arial"/>
                <w:bCs/>
                <w:lang w:eastAsia="en-US"/>
              </w:rPr>
              <w:t>ECOINSULAS III</w:t>
            </w:r>
          </w:p>
        </w:tc>
        <w:tc>
          <w:tcPr>
            <w:tcW w:w="1553" w:type="dxa"/>
            <w:noWrap/>
            <w:hideMark/>
          </w:tcPr>
          <w:p w14:paraId="3A4365FD"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8.928.541,16 €</w:t>
            </w:r>
          </w:p>
        </w:tc>
      </w:tr>
      <w:tr w:rsidR="0087786B" w:rsidRPr="0087786B" w14:paraId="57AB8D78" w14:textId="77777777" w:rsidTr="00416682">
        <w:trPr>
          <w:trHeight w:val="619"/>
        </w:trPr>
        <w:tc>
          <w:tcPr>
            <w:tcW w:w="1361" w:type="dxa"/>
            <w:noWrap/>
            <w:hideMark/>
          </w:tcPr>
          <w:p w14:paraId="60B45F2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Cantabria</w:t>
            </w:r>
          </w:p>
        </w:tc>
        <w:tc>
          <w:tcPr>
            <w:tcW w:w="2479" w:type="dxa"/>
            <w:noWrap/>
            <w:hideMark/>
          </w:tcPr>
          <w:p w14:paraId="02B3F8CC" w14:textId="2699E015" w:rsidR="0087786B" w:rsidRPr="0087786B" w:rsidRDefault="00D55268"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Castro-Urdiales</w:t>
            </w:r>
          </w:p>
        </w:tc>
        <w:tc>
          <w:tcPr>
            <w:tcW w:w="3101" w:type="dxa"/>
            <w:hideMark/>
          </w:tcPr>
          <w:p w14:paraId="4D5C6D78" w14:textId="480FC1CB" w:rsidR="0087786B" w:rsidRPr="0087786B" w:rsidRDefault="00D55268" w:rsidP="00D55268">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Castro-Urdiales. </w:t>
            </w:r>
            <w:r w:rsidR="0087786B" w:rsidRPr="0087786B">
              <w:rPr>
                <w:rFonts w:ascii="Arial" w:eastAsiaTheme="minorHAnsi" w:hAnsi="Arial" w:cs="Arial"/>
                <w:bCs/>
                <w:lang w:eastAsia="en-US"/>
              </w:rPr>
              <w:br/>
              <w:t xml:space="preserve">Ciudad con identidad </w:t>
            </w:r>
            <w:r w:rsidRPr="0087786B">
              <w:rPr>
                <w:rFonts w:ascii="Arial" w:eastAsiaTheme="minorHAnsi" w:hAnsi="Arial" w:cs="Arial"/>
                <w:bCs/>
                <w:lang w:eastAsia="en-US"/>
              </w:rPr>
              <w:t>turística</w:t>
            </w:r>
          </w:p>
        </w:tc>
        <w:tc>
          <w:tcPr>
            <w:tcW w:w="1553" w:type="dxa"/>
            <w:noWrap/>
            <w:hideMark/>
          </w:tcPr>
          <w:p w14:paraId="6DE079BF"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3.500.000,00 €</w:t>
            </w:r>
          </w:p>
        </w:tc>
      </w:tr>
      <w:tr w:rsidR="0087786B" w:rsidRPr="0087786B" w14:paraId="5C8F689E" w14:textId="77777777" w:rsidTr="00416682">
        <w:trPr>
          <w:trHeight w:val="525"/>
        </w:trPr>
        <w:tc>
          <w:tcPr>
            <w:tcW w:w="1361" w:type="dxa"/>
            <w:noWrap/>
            <w:hideMark/>
          </w:tcPr>
          <w:p w14:paraId="6B5F22D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Cantabria</w:t>
            </w:r>
          </w:p>
        </w:tc>
        <w:tc>
          <w:tcPr>
            <w:tcW w:w="2479" w:type="dxa"/>
            <w:noWrap/>
            <w:hideMark/>
          </w:tcPr>
          <w:p w14:paraId="3BC766D2"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Medio Cudeyo</w:t>
            </w:r>
          </w:p>
        </w:tc>
        <w:tc>
          <w:tcPr>
            <w:tcW w:w="3101" w:type="dxa"/>
            <w:hideMark/>
          </w:tcPr>
          <w:p w14:paraId="6BC0576F" w14:textId="139B0E14" w:rsidR="0087786B" w:rsidRPr="0087786B" w:rsidRDefault="00D55268"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Medio Cudeyo</w:t>
            </w:r>
          </w:p>
        </w:tc>
        <w:tc>
          <w:tcPr>
            <w:tcW w:w="1553" w:type="dxa"/>
            <w:noWrap/>
            <w:hideMark/>
          </w:tcPr>
          <w:p w14:paraId="4CE732A9"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3.000.000,00 €</w:t>
            </w:r>
          </w:p>
        </w:tc>
      </w:tr>
      <w:tr w:rsidR="0087786B" w:rsidRPr="0087786B" w14:paraId="759469D8" w14:textId="77777777" w:rsidTr="00416682">
        <w:trPr>
          <w:trHeight w:val="579"/>
        </w:trPr>
        <w:tc>
          <w:tcPr>
            <w:tcW w:w="1361" w:type="dxa"/>
            <w:noWrap/>
            <w:hideMark/>
          </w:tcPr>
          <w:p w14:paraId="04AD4C7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Cantabria</w:t>
            </w:r>
          </w:p>
        </w:tc>
        <w:tc>
          <w:tcPr>
            <w:tcW w:w="2479" w:type="dxa"/>
            <w:noWrap/>
            <w:hideMark/>
          </w:tcPr>
          <w:p w14:paraId="075B4D9F" w14:textId="39E901B0" w:rsidR="0087786B" w:rsidRPr="0087786B" w:rsidRDefault="00D55268" w:rsidP="00D55268">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de Santillana d</w:t>
            </w:r>
            <w:r w:rsidRPr="0087786B">
              <w:rPr>
                <w:rFonts w:ascii="Arial" w:eastAsiaTheme="minorHAnsi" w:hAnsi="Arial" w:cs="Arial"/>
                <w:bCs/>
                <w:lang w:eastAsia="en-US"/>
              </w:rPr>
              <w:t>el Mar</w:t>
            </w:r>
          </w:p>
        </w:tc>
        <w:tc>
          <w:tcPr>
            <w:tcW w:w="3101" w:type="dxa"/>
            <w:hideMark/>
          </w:tcPr>
          <w:p w14:paraId="54BD7ED0" w14:textId="7E294AB9" w:rsidR="0087786B" w:rsidRPr="0087786B" w:rsidRDefault="00D55268"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w:t>
            </w:r>
            <w:r>
              <w:rPr>
                <w:rFonts w:ascii="Arial" w:eastAsiaTheme="minorHAnsi" w:hAnsi="Arial" w:cs="Arial"/>
                <w:bCs/>
                <w:lang w:eastAsia="en-US"/>
              </w:rPr>
              <w:t>del Ayuntamiento d</w:t>
            </w:r>
            <w:r w:rsidRPr="0087786B">
              <w:rPr>
                <w:rFonts w:ascii="Arial" w:eastAsiaTheme="minorHAnsi" w:hAnsi="Arial" w:cs="Arial"/>
                <w:bCs/>
                <w:lang w:eastAsia="en-US"/>
              </w:rPr>
              <w:t xml:space="preserve">e Santillana </w:t>
            </w:r>
            <w:r>
              <w:rPr>
                <w:rFonts w:ascii="Arial" w:eastAsiaTheme="minorHAnsi" w:hAnsi="Arial" w:cs="Arial"/>
                <w:bCs/>
                <w:lang w:eastAsia="en-US"/>
              </w:rPr>
              <w:t>d</w:t>
            </w:r>
            <w:r w:rsidRPr="0087786B">
              <w:rPr>
                <w:rFonts w:ascii="Arial" w:eastAsiaTheme="minorHAnsi" w:hAnsi="Arial" w:cs="Arial"/>
                <w:bCs/>
                <w:lang w:eastAsia="en-US"/>
              </w:rPr>
              <w:t>el Mar</w:t>
            </w:r>
          </w:p>
        </w:tc>
        <w:tc>
          <w:tcPr>
            <w:tcW w:w="1553" w:type="dxa"/>
            <w:noWrap/>
            <w:hideMark/>
          </w:tcPr>
          <w:p w14:paraId="04B6D84B"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3.000.000,00 €</w:t>
            </w:r>
          </w:p>
        </w:tc>
      </w:tr>
      <w:tr w:rsidR="0087786B" w:rsidRPr="0087786B" w14:paraId="1CB10013" w14:textId="77777777" w:rsidTr="00416682">
        <w:trPr>
          <w:trHeight w:val="525"/>
        </w:trPr>
        <w:tc>
          <w:tcPr>
            <w:tcW w:w="1361" w:type="dxa"/>
            <w:noWrap/>
            <w:hideMark/>
          </w:tcPr>
          <w:p w14:paraId="59AD70F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Cantabria</w:t>
            </w:r>
          </w:p>
        </w:tc>
        <w:tc>
          <w:tcPr>
            <w:tcW w:w="2479" w:type="dxa"/>
            <w:noWrap/>
            <w:hideMark/>
          </w:tcPr>
          <w:p w14:paraId="6DD28F8F" w14:textId="2231AF35" w:rsidR="0087786B" w:rsidRPr="0087786B" w:rsidRDefault="00D55268"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V</w:t>
            </w:r>
            <w:r w:rsidRPr="0087786B">
              <w:rPr>
                <w:rFonts w:ascii="Arial" w:eastAsiaTheme="minorHAnsi" w:hAnsi="Arial" w:cs="Arial"/>
                <w:bCs/>
                <w:lang w:eastAsia="en-US"/>
              </w:rPr>
              <w:t>alderredible</w:t>
            </w:r>
          </w:p>
        </w:tc>
        <w:tc>
          <w:tcPr>
            <w:tcW w:w="3101" w:type="dxa"/>
            <w:hideMark/>
          </w:tcPr>
          <w:p w14:paraId="41DA6220" w14:textId="2FBC2C99" w:rsidR="0087786B" w:rsidRPr="0087786B" w:rsidRDefault="00D55268"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Valderredible</w:t>
            </w:r>
          </w:p>
        </w:tc>
        <w:tc>
          <w:tcPr>
            <w:tcW w:w="1553" w:type="dxa"/>
            <w:noWrap/>
            <w:hideMark/>
          </w:tcPr>
          <w:p w14:paraId="71F34528"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3.000.000,00 €</w:t>
            </w:r>
          </w:p>
        </w:tc>
      </w:tr>
      <w:tr w:rsidR="0087786B" w:rsidRPr="0087786B" w14:paraId="54658537" w14:textId="77777777" w:rsidTr="00416682">
        <w:trPr>
          <w:trHeight w:val="300"/>
        </w:trPr>
        <w:tc>
          <w:tcPr>
            <w:tcW w:w="1361" w:type="dxa"/>
            <w:noWrap/>
            <w:hideMark/>
          </w:tcPr>
          <w:p w14:paraId="4D5CAC2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Cantabria</w:t>
            </w:r>
          </w:p>
        </w:tc>
        <w:tc>
          <w:tcPr>
            <w:tcW w:w="2479" w:type="dxa"/>
            <w:noWrap/>
            <w:hideMark/>
          </w:tcPr>
          <w:p w14:paraId="77450013" w14:textId="67F6B3A5" w:rsidR="0087786B" w:rsidRPr="0087786B" w:rsidRDefault="00D55268"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Mancomunidad los valles</w:t>
            </w:r>
          </w:p>
        </w:tc>
        <w:tc>
          <w:tcPr>
            <w:tcW w:w="3101" w:type="dxa"/>
            <w:hideMark/>
          </w:tcPr>
          <w:p w14:paraId="2D20C3AD" w14:textId="7EA39B0C" w:rsidR="0087786B" w:rsidRPr="0087786B" w:rsidRDefault="00D55268"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Los v</w:t>
            </w:r>
            <w:r w:rsidRPr="0087786B">
              <w:rPr>
                <w:rFonts w:ascii="Arial" w:eastAsiaTheme="minorHAnsi" w:hAnsi="Arial" w:cs="Arial"/>
                <w:bCs/>
                <w:lang w:eastAsia="en-US"/>
              </w:rPr>
              <w:t>alles Cantabria Sur</w:t>
            </w:r>
          </w:p>
        </w:tc>
        <w:tc>
          <w:tcPr>
            <w:tcW w:w="1553" w:type="dxa"/>
            <w:noWrap/>
            <w:hideMark/>
          </w:tcPr>
          <w:p w14:paraId="5CFF978B"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1.000.000,00 €</w:t>
            </w:r>
          </w:p>
        </w:tc>
      </w:tr>
      <w:tr w:rsidR="0087786B" w:rsidRPr="0087786B" w14:paraId="30B2E1C5" w14:textId="77777777" w:rsidTr="00416682">
        <w:trPr>
          <w:trHeight w:val="525"/>
        </w:trPr>
        <w:tc>
          <w:tcPr>
            <w:tcW w:w="1361" w:type="dxa"/>
            <w:noWrap/>
            <w:hideMark/>
          </w:tcPr>
          <w:p w14:paraId="55B46107"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Castilla-La Mancha</w:t>
            </w:r>
          </w:p>
        </w:tc>
        <w:tc>
          <w:tcPr>
            <w:tcW w:w="2479" w:type="dxa"/>
            <w:noWrap/>
            <w:hideMark/>
          </w:tcPr>
          <w:p w14:paraId="03FB1F6A" w14:textId="5AC4AF71" w:rsidR="0087786B" w:rsidRPr="0087786B" w:rsidRDefault="00D55268"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w:t>
            </w:r>
            <w:r w:rsidR="0087786B" w:rsidRPr="0087786B">
              <w:rPr>
                <w:rFonts w:ascii="Arial" w:eastAsiaTheme="minorHAnsi" w:hAnsi="Arial" w:cs="Arial"/>
                <w:bCs/>
                <w:lang w:eastAsia="en-US"/>
              </w:rPr>
              <w:t xml:space="preserve"> Provincial de Albacete</w:t>
            </w:r>
          </w:p>
        </w:tc>
        <w:tc>
          <w:tcPr>
            <w:tcW w:w="3101" w:type="dxa"/>
            <w:hideMark/>
          </w:tcPr>
          <w:p w14:paraId="53F0DF2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de La Manchuela de Albacete</w:t>
            </w:r>
          </w:p>
        </w:tc>
        <w:tc>
          <w:tcPr>
            <w:tcW w:w="1553" w:type="dxa"/>
            <w:noWrap/>
            <w:hideMark/>
          </w:tcPr>
          <w:p w14:paraId="5AACC29D"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3.100.000,00 €</w:t>
            </w:r>
          </w:p>
        </w:tc>
      </w:tr>
      <w:tr w:rsidR="0087786B" w:rsidRPr="0087786B" w14:paraId="74AD21C5" w14:textId="77777777" w:rsidTr="00416682">
        <w:trPr>
          <w:trHeight w:val="437"/>
        </w:trPr>
        <w:tc>
          <w:tcPr>
            <w:tcW w:w="1361" w:type="dxa"/>
            <w:noWrap/>
            <w:hideMark/>
          </w:tcPr>
          <w:p w14:paraId="598C092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Castilla-La Mancha</w:t>
            </w:r>
          </w:p>
        </w:tc>
        <w:tc>
          <w:tcPr>
            <w:tcW w:w="2479" w:type="dxa"/>
            <w:noWrap/>
            <w:hideMark/>
          </w:tcPr>
          <w:p w14:paraId="6C47D4B0" w14:textId="5042DC80" w:rsidR="0087786B" w:rsidRPr="0087786B" w:rsidRDefault="007C25B7"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w:t>
            </w:r>
            <w:r>
              <w:rPr>
                <w:rFonts w:ascii="Arial" w:eastAsiaTheme="minorHAnsi" w:hAnsi="Arial" w:cs="Arial"/>
                <w:bCs/>
                <w:lang w:eastAsia="en-US"/>
              </w:rPr>
              <w:t xml:space="preserve"> Provincial d</w:t>
            </w:r>
            <w:r w:rsidRPr="0087786B">
              <w:rPr>
                <w:rFonts w:ascii="Arial" w:eastAsiaTheme="minorHAnsi" w:hAnsi="Arial" w:cs="Arial"/>
                <w:bCs/>
                <w:lang w:eastAsia="en-US"/>
              </w:rPr>
              <w:t>e Ciudad Real</w:t>
            </w:r>
          </w:p>
        </w:tc>
        <w:tc>
          <w:tcPr>
            <w:tcW w:w="3101" w:type="dxa"/>
            <w:hideMark/>
          </w:tcPr>
          <w:p w14:paraId="1AB754A2" w14:textId="660FA61A" w:rsidR="0087786B" w:rsidRPr="0087786B" w:rsidRDefault="0087786B" w:rsidP="007C25B7">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PSTD "Campo de Montiel, Tierra del Quijote" </w:t>
            </w:r>
          </w:p>
        </w:tc>
        <w:tc>
          <w:tcPr>
            <w:tcW w:w="1553" w:type="dxa"/>
            <w:noWrap/>
            <w:hideMark/>
          </w:tcPr>
          <w:p w14:paraId="06368586"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2.800.000,00 €</w:t>
            </w:r>
          </w:p>
        </w:tc>
      </w:tr>
      <w:tr w:rsidR="0087786B" w:rsidRPr="0087786B" w14:paraId="4A81FD8E" w14:textId="77777777" w:rsidTr="00416682">
        <w:trPr>
          <w:trHeight w:val="300"/>
        </w:trPr>
        <w:tc>
          <w:tcPr>
            <w:tcW w:w="1361" w:type="dxa"/>
            <w:noWrap/>
            <w:hideMark/>
          </w:tcPr>
          <w:p w14:paraId="30F5765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Castilla-La Mancha</w:t>
            </w:r>
          </w:p>
        </w:tc>
        <w:tc>
          <w:tcPr>
            <w:tcW w:w="2479" w:type="dxa"/>
            <w:noWrap/>
            <w:hideMark/>
          </w:tcPr>
          <w:p w14:paraId="53C966C8" w14:textId="4CC12359" w:rsidR="0087786B" w:rsidRPr="0087786B" w:rsidRDefault="007C25B7" w:rsidP="007C25B7">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Belmonte</w:t>
            </w:r>
          </w:p>
        </w:tc>
        <w:tc>
          <w:tcPr>
            <w:tcW w:w="3101" w:type="dxa"/>
            <w:hideMark/>
          </w:tcPr>
          <w:p w14:paraId="7078E091" w14:textId="6019A8B6"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Belmonte, un </w:t>
            </w:r>
            <w:r w:rsidR="007C25B7" w:rsidRPr="0087786B">
              <w:rPr>
                <w:rFonts w:ascii="Arial" w:eastAsiaTheme="minorHAnsi" w:hAnsi="Arial" w:cs="Arial"/>
                <w:bCs/>
                <w:lang w:eastAsia="en-US"/>
              </w:rPr>
              <w:t>paraíso</w:t>
            </w:r>
            <w:r w:rsidRPr="0087786B">
              <w:rPr>
                <w:rFonts w:ascii="Arial" w:eastAsiaTheme="minorHAnsi" w:hAnsi="Arial" w:cs="Arial"/>
                <w:bCs/>
                <w:lang w:eastAsia="en-US"/>
              </w:rPr>
              <w:t xml:space="preserve"> medieval</w:t>
            </w:r>
          </w:p>
        </w:tc>
        <w:tc>
          <w:tcPr>
            <w:tcW w:w="1553" w:type="dxa"/>
            <w:noWrap/>
            <w:hideMark/>
          </w:tcPr>
          <w:p w14:paraId="684C19AD"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1.400.000,00 €</w:t>
            </w:r>
          </w:p>
        </w:tc>
      </w:tr>
      <w:tr w:rsidR="0087786B" w:rsidRPr="0087786B" w14:paraId="795E228A" w14:textId="77777777" w:rsidTr="00416682">
        <w:trPr>
          <w:trHeight w:val="1035"/>
        </w:trPr>
        <w:tc>
          <w:tcPr>
            <w:tcW w:w="1361" w:type="dxa"/>
            <w:noWrap/>
            <w:hideMark/>
          </w:tcPr>
          <w:p w14:paraId="77E90627"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Castilla-La Mancha</w:t>
            </w:r>
          </w:p>
        </w:tc>
        <w:tc>
          <w:tcPr>
            <w:tcW w:w="2479" w:type="dxa"/>
            <w:noWrap/>
            <w:hideMark/>
          </w:tcPr>
          <w:p w14:paraId="419DF0A4" w14:textId="194FE091" w:rsidR="0087786B" w:rsidRPr="0087786B" w:rsidRDefault="007C25B7"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Federación</w:t>
            </w:r>
            <w:r w:rsidR="0087786B" w:rsidRPr="0087786B">
              <w:rPr>
                <w:rFonts w:ascii="Arial" w:eastAsiaTheme="minorHAnsi" w:hAnsi="Arial" w:cs="Arial"/>
                <w:bCs/>
                <w:lang w:eastAsia="en-US"/>
              </w:rPr>
              <w:t xml:space="preserve"> para el Desarrollo de la Sierra y Mancha Conquense (ADESIMAN)</w:t>
            </w:r>
          </w:p>
        </w:tc>
        <w:tc>
          <w:tcPr>
            <w:tcW w:w="3101" w:type="dxa"/>
            <w:hideMark/>
          </w:tcPr>
          <w:p w14:paraId="6325A1C3" w14:textId="4D3D7F70" w:rsidR="0087786B" w:rsidRPr="0087786B" w:rsidRDefault="007C25B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w:t>
            </w:r>
            <w:r w:rsidRPr="0087786B">
              <w:rPr>
                <w:rFonts w:ascii="Arial" w:eastAsiaTheme="minorHAnsi" w:hAnsi="Arial" w:cs="Arial"/>
                <w:bCs/>
                <w:lang w:eastAsia="en-US"/>
              </w:rPr>
              <w:t xml:space="preserve">De </w:t>
            </w:r>
            <w:r>
              <w:rPr>
                <w:rFonts w:ascii="Arial" w:eastAsiaTheme="minorHAnsi" w:hAnsi="Arial" w:cs="Arial"/>
                <w:bCs/>
                <w:lang w:eastAsia="en-US"/>
              </w:rPr>
              <w:t>Adesimá</w:t>
            </w:r>
            <w:r w:rsidRPr="0087786B">
              <w:rPr>
                <w:rFonts w:ascii="Arial" w:eastAsiaTheme="minorHAnsi" w:hAnsi="Arial" w:cs="Arial"/>
                <w:bCs/>
                <w:lang w:eastAsia="en-US"/>
              </w:rPr>
              <w:t>n</w:t>
            </w:r>
            <w:r>
              <w:rPr>
                <w:rFonts w:ascii="Arial" w:eastAsiaTheme="minorHAnsi" w:hAnsi="Arial" w:cs="Arial"/>
                <w:bCs/>
                <w:lang w:eastAsia="en-US"/>
              </w:rPr>
              <w:t>: Sierra y</w:t>
            </w:r>
            <w:r w:rsidRPr="0087786B">
              <w:rPr>
                <w:rFonts w:ascii="Arial" w:eastAsiaTheme="minorHAnsi" w:hAnsi="Arial" w:cs="Arial"/>
                <w:bCs/>
                <w:lang w:eastAsia="en-US"/>
              </w:rPr>
              <w:t xml:space="preserve"> Mancha Conquense</w:t>
            </w:r>
          </w:p>
        </w:tc>
        <w:tc>
          <w:tcPr>
            <w:tcW w:w="1553" w:type="dxa"/>
            <w:noWrap/>
            <w:hideMark/>
          </w:tcPr>
          <w:p w14:paraId="35BB9C0B"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3.780.000,00 €</w:t>
            </w:r>
          </w:p>
        </w:tc>
      </w:tr>
      <w:tr w:rsidR="0087786B" w:rsidRPr="0087786B" w14:paraId="783FEA20" w14:textId="77777777" w:rsidTr="00416682">
        <w:trPr>
          <w:trHeight w:val="780"/>
        </w:trPr>
        <w:tc>
          <w:tcPr>
            <w:tcW w:w="1361" w:type="dxa"/>
            <w:noWrap/>
            <w:hideMark/>
          </w:tcPr>
          <w:p w14:paraId="2B60127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Castilla-La Mancha</w:t>
            </w:r>
          </w:p>
        </w:tc>
        <w:tc>
          <w:tcPr>
            <w:tcW w:w="2479" w:type="dxa"/>
            <w:noWrap/>
            <w:hideMark/>
          </w:tcPr>
          <w:p w14:paraId="1FB0AB9B" w14:textId="0A5F5279" w:rsidR="0087786B" w:rsidRPr="0087786B" w:rsidRDefault="007C25B7"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Asociación</w:t>
            </w:r>
            <w:r>
              <w:rPr>
                <w:rFonts w:ascii="Arial" w:eastAsiaTheme="minorHAnsi" w:hAnsi="Arial" w:cs="Arial"/>
                <w:bCs/>
                <w:lang w:eastAsia="en-US"/>
              </w:rPr>
              <w:t xml:space="preserve"> d</w:t>
            </w:r>
            <w:r w:rsidRPr="0087786B">
              <w:rPr>
                <w:rFonts w:ascii="Arial" w:eastAsiaTheme="minorHAnsi" w:hAnsi="Arial" w:cs="Arial"/>
                <w:bCs/>
                <w:lang w:eastAsia="en-US"/>
              </w:rPr>
              <w:t xml:space="preserve">e Desarrollo Rural </w:t>
            </w:r>
            <w:r>
              <w:rPr>
                <w:rFonts w:ascii="Arial" w:eastAsiaTheme="minorHAnsi" w:hAnsi="Arial" w:cs="Arial"/>
                <w:bCs/>
                <w:lang w:eastAsia="en-US"/>
              </w:rPr>
              <w:t>Molina d</w:t>
            </w:r>
            <w:r w:rsidRPr="0087786B">
              <w:rPr>
                <w:rFonts w:ascii="Arial" w:eastAsiaTheme="minorHAnsi" w:hAnsi="Arial" w:cs="Arial"/>
                <w:bCs/>
                <w:lang w:eastAsia="en-US"/>
              </w:rPr>
              <w:t>e Aragón-Alto Tajo</w:t>
            </w:r>
          </w:p>
        </w:tc>
        <w:tc>
          <w:tcPr>
            <w:tcW w:w="3101" w:type="dxa"/>
            <w:hideMark/>
          </w:tcPr>
          <w:p w14:paraId="57B42D61" w14:textId="695353E8" w:rsidR="0087786B" w:rsidRPr="0087786B" w:rsidRDefault="007C25B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Comarca Molina de </w:t>
            </w:r>
            <w:r w:rsidRPr="0087786B">
              <w:rPr>
                <w:rFonts w:ascii="Arial" w:eastAsiaTheme="minorHAnsi" w:hAnsi="Arial" w:cs="Arial"/>
                <w:bCs/>
                <w:lang w:eastAsia="en-US"/>
              </w:rPr>
              <w:t>Aragón</w:t>
            </w:r>
            <w:r w:rsidR="0087786B" w:rsidRPr="0087786B">
              <w:rPr>
                <w:rFonts w:ascii="Arial" w:eastAsiaTheme="minorHAnsi" w:hAnsi="Arial" w:cs="Arial"/>
                <w:bCs/>
                <w:lang w:eastAsia="en-US"/>
              </w:rPr>
              <w:t>-Alto Tajo</w:t>
            </w:r>
          </w:p>
        </w:tc>
        <w:tc>
          <w:tcPr>
            <w:tcW w:w="1553" w:type="dxa"/>
            <w:noWrap/>
            <w:hideMark/>
          </w:tcPr>
          <w:p w14:paraId="363DB46F"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3.100.000,00 €</w:t>
            </w:r>
          </w:p>
        </w:tc>
      </w:tr>
      <w:tr w:rsidR="0087786B" w:rsidRPr="0087786B" w14:paraId="401666A6" w14:textId="77777777" w:rsidTr="00416682">
        <w:trPr>
          <w:trHeight w:val="525"/>
        </w:trPr>
        <w:tc>
          <w:tcPr>
            <w:tcW w:w="1361" w:type="dxa"/>
            <w:noWrap/>
            <w:hideMark/>
          </w:tcPr>
          <w:p w14:paraId="4705CBB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Castilla-La Mancha</w:t>
            </w:r>
          </w:p>
        </w:tc>
        <w:tc>
          <w:tcPr>
            <w:tcW w:w="2479" w:type="dxa"/>
            <w:noWrap/>
            <w:hideMark/>
          </w:tcPr>
          <w:p w14:paraId="44659362"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Grupo de Desarrollo Rural Montes de Toledo</w:t>
            </w:r>
          </w:p>
        </w:tc>
        <w:tc>
          <w:tcPr>
            <w:tcW w:w="3101" w:type="dxa"/>
            <w:hideMark/>
          </w:tcPr>
          <w:p w14:paraId="07D3F743"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de los Montes de Toledo</w:t>
            </w:r>
          </w:p>
        </w:tc>
        <w:tc>
          <w:tcPr>
            <w:tcW w:w="1553" w:type="dxa"/>
            <w:noWrap/>
            <w:hideMark/>
          </w:tcPr>
          <w:p w14:paraId="69C184F4"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65983DAD" w14:textId="77777777" w:rsidTr="00416682">
        <w:trPr>
          <w:trHeight w:val="780"/>
        </w:trPr>
        <w:tc>
          <w:tcPr>
            <w:tcW w:w="1361" w:type="dxa"/>
            <w:noWrap/>
            <w:hideMark/>
          </w:tcPr>
          <w:p w14:paraId="366CB843"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Castilla-La Mancha</w:t>
            </w:r>
          </w:p>
        </w:tc>
        <w:tc>
          <w:tcPr>
            <w:tcW w:w="2479" w:type="dxa"/>
            <w:noWrap/>
            <w:hideMark/>
          </w:tcPr>
          <w:p w14:paraId="03E5A089"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Municipios de la CA de CLM</w:t>
            </w:r>
          </w:p>
        </w:tc>
        <w:tc>
          <w:tcPr>
            <w:tcW w:w="3101" w:type="dxa"/>
            <w:hideMark/>
          </w:tcPr>
          <w:p w14:paraId="1B4C521B" w14:textId="795A945D"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ACD </w:t>
            </w:r>
            <w:r w:rsidR="007C25B7" w:rsidRPr="0087786B">
              <w:rPr>
                <w:rFonts w:ascii="Arial" w:eastAsiaTheme="minorHAnsi" w:hAnsi="Arial" w:cs="Arial"/>
                <w:bCs/>
                <w:lang w:eastAsia="en-US"/>
              </w:rPr>
              <w:t>Castilla-La Mancha 2023 Turismo Cultural, Activo Y Sostenible</w:t>
            </w:r>
          </w:p>
        </w:tc>
        <w:tc>
          <w:tcPr>
            <w:tcW w:w="1553" w:type="dxa"/>
            <w:noWrap/>
            <w:hideMark/>
          </w:tcPr>
          <w:p w14:paraId="59F6A156"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9.200.000,00 €</w:t>
            </w:r>
          </w:p>
        </w:tc>
      </w:tr>
      <w:tr w:rsidR="0087786B" w:rsidRPr="0087786B" w14:paraId="1863B1F5" w14:textId="77777777" w:rsidTr="00416682">
        <w:trPr>
          <w:trHeight w:val="525"/>
        </w:trPr>
        <w:tc>
          <w:tcPr>
            <w:tcW w:w="1361" w:type="dxa"/>
            <w:noWrap/>
            <w:hideMark/>
          </w:tcPr>
          <w:p w14:paraId="1C83031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Castilla-La Mancha</w:t>
            </w:r>
          </w:p>
        </w:tc>
        <w:tc>
          <w:tcPr>
            <w:tcW w:w="2479" w:type="dxa"/>
            <w:noWrap/>
            <w:hideMark/>
          </w:tcPr>
          <w:p w14:paraId="691A831D"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Municipios de la CA de CLM</w:t>
            </w:r>
          </w:p>
        </w:tc>
        <w:tc>
          <w:tcPr>
            <w:tcW w:w="3101" w:type="dxa"/>
            <w:hideMark/>
          </w:tcPr>
          <w:p w14:paraId="3924CFBE" w14:textId="27E64EC6" w:rsidR="0087786B" w:rsidRPr="0087786B" w:rsidRDefault="007C25B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ACD </w:t>
            </w:r>
            <w:r w:rsidRPr="0087786B">
              <w:rPr>
                <w:rFonts w:ascii="Arial" w:eastAsiaTheme="minorHAnsi" w:hAnsi="Arial" w:cs="Arial"/>
                <w:bCs/>
                <w:lang w:eastAsia="en-US"/>
              </w:rPr>
              <w:t>Castilla-La Mancha: Destino Azul Sostenible</w:t>
            </w:r>
          </w:p>
        </w:tc>
        <w:tc>
          <w:tcPr>
            <w:tcW w:w="1553" w:type="dxa"/>
            <w:noWrap/>
            <w:hideMark/>
          </w:tcPr>
          <w:p w14:paraId="54428E8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604DBCBE" w14:textId="77777777" w:rsidTr="00416682">
        <w:trPr>
          <w:trHeight w:val="1035"/>
        </w:trPr>
        <w:tc>
          <w:tcPr>
            <w:tcW w:w="1361" w:type="dxa"/>
            <w:noWrap/>
            <w:hideMark/>
          </w:tcPr>
          <w:p w14:paraId="43AECBB6"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23C9D871" w14:textId="7D8B0BBA" w:rsidR="0087786B" w:rsidRPr="0087786B" w:rsidRDefault="007C25B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La Adrada</w:t>
            </w:r>
          </w:p>
        </w:tc>
        <w:tc>
          <w:tcPr>
            <w:tcW w:w="3101" w:type="dxa"/>
            <w:hideMark/>
          </w:tcPr>
          <w:p w14:paraId="118119EE" w14:textId="339B2BFD"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PSTD de La Adrada: Ecomovilidad para un turismo sostenible 36</w:t>
            </w:r>
            <w:r w:rsidR="007C25B7">
              <w:rPr>
                <w:rFonts w:ascii="Arial" w:eastAsiaTheme="minorHAnsi" w:hAnsi="Arial" w:cs="Arial"/>
                <w:bCs/>
                <w:lang w:eastAsia="en-US"/>
              </w:rPr>
              <w:t>0 - 365 en el Valle Alto del Tié</w:t>
            </w:r>
            <w:r w:rsidRPr="0087786B">
              <w:rPr>
                <w:rFonts w:ascii="Arial" w:eastAsiaTheme="minorHAnsi" w:hAnsi="Arial" w:cs="Arial"/>
                <w:bCs/>
                <w:lang w:eastAsia="en-US"/>
              </w:rPr>
              <w:t>tar</w:t>
            </w:r>
          </w:p>
        </w:tc>
        <w:tc>
          <w:tcPr>
            <w:tcW w:w="1553" w:type="dxa"/>
            <w:noWrap/>
            <w:hideMark/>
          </w:tcPr>
          <w:p w14:paraId="20CC7FC0"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1.367.000,00 €</w:t>
            </w:r>
          </w:p>
        </w:tc>
      </w:tr>
      <w:tr w:rsidR="0087786B" w:rsidRPr="0087786B" w14:paraId="2AB99C2C" w14:textId="77777777" w:rsidTr="00416682">
        <w:trPr>
          <w:trHeight w:val="1035"/>
        </w:trPr>
        <w:tc>
          <w:tcPr>
            <w:tcW w:w="1361" w:type="dxa"/>
            <w:noWrap/>
            <w:hideMark/>
          </w:tcPr>
          <w:p w14:paraId="214EB69E"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63C08CF5" w14:textId="3E343E35" w:rsidR="0087786B" w:rsidRPr="0087786B" w:rsidRDefault="007C25B7" w:rsidP="007C25B7">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Asociación para el Desarrollo Rural Integral de l</w:t>
            </w:r>
            <w:r w:rsidRPr="0087786B">
              <w:rPr>
                <w:rFonts w:ascii="Arial" w:eastAsiaTheme="minorHAnsi" w:hAnsi="Arial" w:cs="Arial"/>
                <w:bCs/>
                <w:lang w:eastAsia="en-US"/>
              </w:rPr>
              <w:t>as Comarcas Circundantes Al Camino De Santiago</w:t>
            </w:r>
          </w:p>
        </w:tc>
        <w:tc>
          <w:tcPr>
            <w:tcW w:w="3101" w:type="dxa"/>
            <w:hideMark/>
          </w:tcPr>
          <w:p w14:paraId="6CEC90BB" w14:textId="32046515" w:rsidR="0087786B" w:rsidRPr="0087786B" w:rsidRDefault="007C25B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Geoparque Mundial UNESCO Las Loras (Municipios de la Provincia de Brugos)</w:t>
            </w:r>
          </w:p>
        </w:tc>
        <w:tc>
          <w:tcPr>
            <w:tcW w:w="1553" w:type="dxa"/>
            <w:noWrap/>
            <w:hideMark/>
          </w:tcPr>
          <w:p w14:paraId="4A794E31"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1.800.000,00 €</w:t>
            </w:r>
          </w:p>
        </w:tc>
      </w:tr>
      <w:tr w:rsidR="0087786B" w:rsidRPr="0087786B" w14:paraId="7DA69432" w14:textId="77777777" w:rsidTr="00416682">
        <w:trPr>
          <w:trHeight w:val="586"/>
        </w:trPr>
        <w:tc>
          <w:tcPr>
            <w:tcW w:w="1361" w:type="dxa"/>
            <w:noWrap/>
            <w:hideMark/>
          </w:tcPr>
          <w:p w14:paraId="2DA90CD1"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495D76AE" w14:textId="64C2423F" w:rsidR="0087786B" w:rsidRPr="0087786B" w:rsidRDefault="007C25B7"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w:t>
            </w:r>
            <w:r>
              <w:rPr>
                <w:rFonts w:ascii="Arial" w:eastAsiaTheme="minorHAnsi" w:hAnsi="Arial" w:cs="Arial"/>
                <w:bCs/>
                <w:lang w:eastAsia="en-US"/>
              </w:rPr>
              <w:t xml:space="preserve"> de B</w:t>
            </w:r>
            <w:r w:rsidRPr="0087786B">
              <w:rPr>
                <w:rFonts w:ascii="Arial" w:eastAsiaTheme="minorHAnsi" w:hAnsi="Arial" w:cs="Arial"/>
                <w:bCs/>
                <w:lang w:eastAsia="en-US"/>
              </w:rPr>
              <w:t>urgos</w:t>
            </w:r>
          </w:p>
        </w:tc>
        <w:tc>
          <w:tcPr>
            <w:tcW w:w="3101" w:type="dxa"/>
            <w:hideMark/>
          </w:tcPr>
          <w:p w14:paraId="219ED95D" w14:textId="6F715A8D" w:rsidR="0087786B" w:rsidRPr="0087786B" w:rsidRDefault="007C25B7"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"Conventus Iuridicus Cluniensis"</w:t>
            </w:r>
          </w:p>
        </w:tc>
        <w:tc>
          <w:tcPr>
            <w:tcW w:w="1553" w:type="dxa"/>
            <w:noWrap/>
            <w:hideMark/>
          </w:tcPr>
          <w:p w14:paraId="66058AB1"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2.400.000,00 €</w:t>
            </w:r>
          </w:p>
        </w:tc>
      </w:tr>
      <w:tr w:rsidR="0087786B" w:rsidRPr="0087786B" w14:paraId="2A649708" w14:textId="77777777" w:rsidTr="00416682">
        <w:trPr>
          <w:trHeight w:val="551"/>
        </w:trPr>
        <w:tc>
          <w:tcPr>
            <w:tcW w:w="1361" w:type="dxa"/>
            <w:noWrap/>
            <w:hideMark/>
          </w:tcPr>
          <w:p w14:paraId="7A903194"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08CAFEDE" w14:textId="6DECDC58" w:rsidR="0087786B" w:rsidRPr="0087786B" w:rsidRDefault="004376A5" w:rsidP="004376A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Carucedo</w:t>
            </w:r>
          </w:p>
        </w:tc>
        <w:tc>
          <w:tcPr>
            <w:tcW w:w="3101" w:type="dxa"/>
            <w:hideMark/>
          </w:tcPr>
          <w:p w14:paraId="6EA0471D" w14:textId="4AAE9364" w:rsidR="0087786B" w:rsidRPr="0087786B" w:rsidRDefault="004376A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w:t>
            </w:r>
            <w:r>
              <w:rPr>
                <w:rFonts w:ascii="Arial" w:eastAsiaTheme="minorHAnsi" w:hAnsi="Arial" w:cs="Arial"/>
                <w:bCs/>
                <w:lang w:eastAsia="en-US"/>
              </w:rPr>
              <w:t>en destino del municipio de C</w:t>
            </w:r>
            <w:r w:rsidRPr="0087786B">
              <w:rPr>
                <w:rFonts w:ascii="Arial" w:eastAsiaTheme="minorHAnsi" w:hAnsi="Arial" w:cs="Arial"/>
                <w:bCs/>
                <w:lang w:eastAsia="en-US"/>
              </w:rPr>
              <w:t>arucedo</w:t>
            </w:r>
          </w:p>
        </w:tc>
        <w:tc>
          <w:tcPr>
            <w:tcW w:w="1553" w:type="dxa"/>
            <w:noWrap/>
            <w:hideMark/>
          </w:tcPr>
          <w:p w14:paraId="15D513C8"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1.100.000,00 €</w:t>
            </w:r>
          </w:p>
        </w:tc>
      </w:tr>
      <w:tr w:rsidR="0087786B" w:rsidRPr="0087786B" w14:paraId="3EAD2482" w14:textId="77777777" w:rsidTr="00416682">
        <w:trPr>
          <w:trHeight w:val="300"/>
        </w:trPr>
        <w:tc>
          <w:tcPr>
            <w:tcW w:w="1361" w:type="dxa"/>
            <w:noWrap/>
            <w:hideMark/>
          </w:tcPr>
          <w:p w14:paraId="7002CA4C"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3617AEE2" w14:textId="7FDAE0E4"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Consorcio para la </w:t>
            </w:r>
            <w:r w:rsidR="004376A5" w:rsidRPr="0087786B">
              <w:rPr>
                <w:rFonts w:ascii="Arial" w:eastAsiaTheme="minorHAnsi" w:hAnsi="Arial" w:cs="Arial"/>
                <w:bCs/>
                <w:lang w:eastAsia="en-US"/>
              </w:rPr>
              <w:t>Gestión</w:t>
            </w:r>
            <w:r w:rsidRPr="0087786B">
              <w:rPr>
                <w:rFonts w:ascii="Arial" w:eastAsiaTheme="minorHAnsi" w:hAnsi="Arial" w:cs="Arial"/>
                <w:bCs/>
                <w:lang w:eastAsia="en-US"/>
              </w:rPr>
              <w:t xml:space="preserve"> Turistica del Canal de Castilla</w:t>
            </w:r>
          </w:p>
        </w:tc>
        <w:tc>
          <w:tcPr>
            <w:tcW w:w="3101" w:type="dxa"/>
            <w:hideMark/>
          </w:tcPr>
          <w:p w14:paraId="459CF5E2" w14:textId="66D916E1" w:rsidR="0087786B" w:rsidRPr="0087786B" w:rsidRDefault="004376A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PSTD </w:t>
            </w:r>
            <w:r w:rsidR="0087786B" w:rsidRPr="0087786B">
              <w:rPr>
                <w:rFonts w:ascii="Arial" w:eastAsiaTheme="minorHAnsi" w:hAnsi="Arial" w:cs="Arial"/>
                <w:bCs/>
                <w:lang w:eastAsia="en-US"/>
              </w:rPr>
              <w:t>Canal de Castilla</w:t>
            </w:r>
          </w:p>
        </w:tc>
        <w:tc>
          <w:tcPr>
            <w:tcW w:w="1553" w:type="dxa"/>
            <w:noWrap/>
            <w:hideMark/>
          </w:tcPr>
          <w:p w14:paraId="3191BA84"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233AAB1A" w14:textId="77777777" w:rsidTr="00416682">
        <w:trPr>
          <w:trHeight w:val="525"/>
        </w:trPr>
        <w:tc>
          <w:tcPr>
            <w:tcW w:w="1361" w:type="dxa"/>
            <w:noWrap/>
            <w:hideMark/>
          </w:tcPr>
          <w:p w14:paraId="135E5ECE"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2667B491" w14:textId="0F16762F" w:rsidR="0087786B" w:rsidRPr="0087786B" w:rsidRDefault="004376A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w:t>
            </w:r>
            <w:r>
              <w:rPr>
                <w:rFonts w:ascii="Arial" w:eastAsiaTheme="minorHAnsi" w:hAnsi="Arial" w:cs="Arial"/>
                <w:bCs/>
                <w:lang w:eastAsia="en-US"/>
              </w:rPr>
              <w:t xml:space="preserve"> Provincial d</w:t>
            </w:r>
            <w:r w:rsidRPr="0087786B">
              <w:rPr>
                <w:rFonts w:ascii="Arial" w:eastAsiaTheme="minorHAnsi" w:hAnsi="Arial" w:cs="Arial"/>
                <w:bCs/>
                <w:lang w:eastAsia="en-US"/>
              </w:rPr>
              <w:t>e Palencia</w:t>
            </w:r>
          </w:p>
        </w:tc>
        <w:tc>
          <w:tcPr>
            <w:tcW w:w="3101" w:type="dxa"/>
            <w:hideMark/>
          </w:tcPr>
          <w:p w14:paraId="7386ED33" w14:textId="24ED348B" w:rsidR="0087786B" w:rsidRPr="0087786B" w:rsidRDefault="004376A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E</w:t>
            </w:r>
            <w:r w:rsidRPr="0087786B">
              <w:rPr>
                <w:rFonts w:ascii="Arial" w:eastAsiaTheme="minorHAnsi" w:hAnsi="Arial" w:cs="Arial"/>
                <w:bCs/>
                <w:lang w:eastAsia="en-US"/>
              </w:rPr>
              <w:t>l cerrato palentino, paisaje cultural del vino</w:t>
            </w:r>
          </w:p>
        </w:tc>
        <w:tc>
          <w:tcPr>
            <w:tcW w:w="1553" w:type="dxa"/>
            <w:noWrap/>
            <w:hideMark/>
          </w:tcPr>
          <w:p w14:paraId="1A46A528"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62DA8FC0" w14:textId="77777777" w:rsidTr="00416682">
        <w:trPr>
          <w:trHeight w:val="525"/>
        </w:trPr>
        <w:tc>
          <w:tcPr>
            <w:tcW w:w="1361" w:type="dxa"/>
            <w:noWrap/>
            <w:hideMark/>
          </w:tcPr>
          <w:p w14:paraId="1CC2C76F"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7769AFA2" w14:textId="47ABF5DA" w:rsidR="0087786B" w:rsidRPr="0087786B" w:rsidRDefault="004376A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Ciudad Rodrigo</w:t>
            </w:r>
          </w:p>
        </w:tc>
        <w:tc>
          <w:tcPr>
            <w:tcW w:w="3101" w:type="dxa"/>
            <w:hideMark/>
          </w:tcPr>
          <w:p w14:paraId="2C83D08A" w14:textId="30D22DBA" w:rsidR="0087786B" w:rsidRPr="0087786B" w:rsidRDefault="004376A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Ciudad Rodrigo Destino Turístico de r</w:t>
            </w:r>
            <w:r w:rsidRPr="0087786B">
              <w:rPr>
                <w:rFonts w:ascii="Arial" w:eastAsiaTheme="minorHAnsi" w:hAnsi="Arial" w:cs="Arial"/>
                <w:bCs/>
                <w:lang w:eastAsia="en-US"/>
              </w:rPr>
              <w:t>eferencia</w:t>
            </w:r>
          </w:p>
        </w:tc>
        <w:tc>
          <w:tcPr>
            <w:tcW w:w="1553" w:type="dxa"/>
            <w:noWrap/>
            <w:hideMark/>
          </w:tcPr>
          <w:p w14:paraId="57E40D2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1.800.000,00 €</w:t>
            </w:r>
          </w:p>
        </w:tc>
      </w:tr>
      <w:tr w:rsidR="0087786B" w:rsidRPr="0087786B" w14:paraId="39449952" w14:textId="77777777" w:rsidTr="00416682">
        <w:trPr>
          <w:trHeight w:val="1082"/>
        </w:trPr>
        <w:tc>
          <w:tcPr>
            <w:tcW w:w="1361" w:type="dxa"/>
            <w:noWrap/>
            <w:hideMark/>
          </w:tcPr>
          <w:p w14:paraId="75C9A41F"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53AA1E44" w14:textId="05CA95E7" w:rsidR="0087786B" w:rsidRPr="0087786B" w:rsidRDefault="004376A5" w:rsidP="004376A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Saelices El Chico</w:t>
            </w:r>
          </w:p>
        </w:tc>
        <w:tc>
          <w:tcPr>
            <w:tcW w:w="3101" w:type="dxa"/>
            <w:hideMark/>
          </w:tcPr>
          <w:p w14:paraId="4057EAD9" w14:textId="534772FC" w:rsidR="0087786B" w:rsidRPr="0087786B" w:rsidRDefault="004376A5" w:rsidP="004376A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C</w:t>
            </w:r>
            <w:r w:rsidRPr="0087786B">
              <w:rPr>
                <w:rFonts w:ascii="Arial" w:eastAsiaTheme="minorHAnsi" w:hAnsi="Arial" w:cs="Arial"/>
                <w:bCs/>
                <w:lang w:eastAsia="en-US"/>
              </w:rPr>
              <w:t>reación del parque arqueológico</w:t>
            </w:r>
            <w:r>
              <w:rPr>
                <w:rFonts w:ascii="Arial" w:eastAsiaTheme="minorHAnsi" w:hAnsi="Arial" w:cs="Arial"/>
                <w:bCs/>
                <w:lang w:eastAsia="en-US"/>
              </w:rPr>
              <w:t xml:space="preserve"> villa romana de Saelices El C</w:t>
            </w:r>
            <w:r w:rsidRPr="0087786B">
              <w:rPr>
                <w:rFonts w:ascii="Arial" w:eastAsiaTheme="minorHAnsi" w:hAnsi="Arial" w:cs="Arial"/>
                <w:bCs/>
                <w:lang w:eastAsia="en-US"/>
              </w:rPr>
              <w:t>hico hacia un turismo cultural y rural</w:t>
            </w:r>
          </w:p>
        </w:tc>
        <w:tc>
          <w:tcPr>
            <w:tcW w:w="1553" w:type="dxa"/>
            <w:noWrap/>
            <w:hideMark/>
          </w:tcPr>
          <w:p w14:paraId="07D96000"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1.209.000,00 €</w:t>
            </w:r>
          </w:p>
        </w:tc>
      </w:tr>
      <w:tr w:rsidR="0087786B" w:rsidRPr="0087786B" w14:paraId="04403766" w14:textId="77777777" w:rsidTr="00416682">
        <w:trPr>
          <w:trHeight w:val="300"/>
        </w:trPr>
        <w:tc>
          <w:tcPr>
            <w:tcW w:w="1361" w:type="dxa"/>
            <w:noWrap/>
            <w:hideMark/>
          </w:tcPr>
          <w:p w14:paraId="17BAB6E8"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7107AD22" w14:textId="00F6FE7A" w:rsidR="0087786B" w:rsidRPr="0087786B" w:rsidRDefault="004376A5" w:rsidP="004376A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Be</w:t>
            </w:r>
            <w:r>
              <w:rPr>
                <w:rFonts w:ascii="Arial" w:eastAsiaTheme="minorHAnsi" w:hAnsi="Arial" w:cs="Arial"/>
                <w:bCs/>
                <w:lang w:eastAsia="en-US"/>
              </w:rPr>
              <w:t>rlanga d</w:t>
            </w:r>
            <w:r w:rsidRPr="0087786B">
              <w:rPr>
                <w:rFonts w:ascii="Arial" w:eastAsiaTheme="minorHAnsi" w:hAnsi="Arial" w:cs="Arial"/>
                <w:bCs/>
                <w:lang w:eastAsia="en-US"/>
              </w:rPr>
              <w:t>e Duero Soria</w:t>
            </w:r>
          </w:p>
        </w:tc>
        <w:tc>
          <w:tcPr>
            <w:tcW w:w="3101" w:type="dxa"/>
            <w:hideMark/>
          </w:tcPr>
          <w:p w14:paraId="4E89DCCC" w14:textId="75F9D2E0" w:rsidR="0087786B" w:rsidRPr="0087786B" w:rsidRDefault="004376A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PSTD </w:t>
            </w:r>
            <w:r w:rsidRPr="0087786B">
              <w:rPr>
                <w:rFonts w:ascii="Arial" w:eastAsiaTheme="minorHAnsi" w:hAnsi="Arial" w:cs="Arial"/>
                <w:bCs/>
                <w:lang w:eastAsia="en-US"/>
              </w:rPr>
              <w:t>Renacere</w:t>
            </w:r>
          </w:p>
        </w:tc>
        <w:tc>
          <w:tcPr>
            <w:tcW w:w="1553" w:type="dxa"/>
            <w:noWrap/>
            <w:hideMark/>
          </w:tcPr>
          <w:p w14:paraId="19E86A3C"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1.500.000,00 €</w:t>
            </w:r>
          </w:p>
        </w:tc>
      </w:tr>
      <w:tr w:rsidR="0087786B" w:rsidRPr="0087786B" w14:paraId="1FFF34AA" w14:textId="77777777" w:rsidTr="00416682">
        <w:trPr>
          <w:trHeight w:val="525"/>
        </w:trPr>
        <w:tc>
          <w:tcPr>
            <w:tcW w:w="1361" w:type="dxa"/>
            <w:noWrap/>
            <w:hideMark/>
          </w:tcPr>
          <w:p w14:paraId="2E99EEFD"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62723CD2" w14:textId="194F0405" w:rsidR="0087786B" w:rsidRPr="0087786B" w:rsidRDefault="004376A5" w:rsidP="004376A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Medinaceli</w:t>
            </w:r>
          </w:p>
        </w:tc>
        <w:tc>
          <w:tcPr>
            <w:tcW w:w="3101" w:type="dxa"/>
            <w:hideMark/>
          </w:tcPr>
          <w:p w14:paraId="5394271E" w14:textId="20F1ECA3" w:rsidR="0087786B" w:rsidRPr="0087786B" w:rsidRDefault="004376A5" w:rsidP="004376A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 xml:space="preserve">PSTD </w:t>
            </w:r>
            <w:r w:rsidRPr="0087786B">
              <w:rPr>
                <w:rFonts w:ascii="Arial" w:eastAsiaTheme="minorHAnsi" w:hAnsi="Arial" w:cs="Arial"/>
                <w:bCs/>
                <w:lang w:eastAsia="en-US"/>
              </w:rPr>
              <w:t>Medinaceli Patrimonio Natural</w:t>
            </w:r>
          </w:p>
        </w:tc>
        <w:tc>
          <w:tcPr>
            <w:tcW w:w="1553" w:type="dxa"/>
            <w:noWrap/>
            <w:hideMark/>
          </w:tcPr>
          <w:p w14:paraId="75AD9A2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1.500.000,00 €</w:t>
            </w:r>
          </w:p>
        </w:tc>
      </w:tr>
      <w:tr w:rsidR="0087786B" w:rsidRPr="0087786B" w14:paraId="79DF9B1F" w14:textId="77777777" w:rsidTr="00416682">
        <w:trPr>
          <w:trHeight w:val="603"/>
        </w:trPr>
        <w:tc>
          <w:tcPr>
            <w:tcW w:w="1361" w:type="dxa"/>
            <w:noWrap/>
            <w:hideMark/>
          </w:tcPr>
          <w:p w14:paraId="1C9432A7"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7C6802C9"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Peñafiel</w:t>
            </w:r>
          </w:p>
        </w:tc>
        <w:tc>
          <w:tcPr>
            <w:tcW w:w="3101" w:type="dxa"/>
            <w:hideMark/>
          </w:tcPr>
          <w:p w14:paraId="3D3FDC38" w14:textId="1C55FECA" w:rsidR="0087786B" w:rsidRPr="0087786B" w:rsidRDefault="0087786B" w:rsidP="004376A5">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Plan de Sostenibilidad Turistica de Peñafiel. </w:t>
            </w:r>
          </w:p>
        </w:tc>
        <w:tc>
          <w:tcPr>
            <w:tcW w:w="1553" w:type="dxa"/>
            <w:noWrap/>
            <w:hideMark/>
          </w:tcPr>
          <w:p w14:paraId="55F02C48"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1.500.000,00 €</w:t>
            </w:r>
          </w:p>
        </w:tc>
      </w:tr>
      <w:tr w:rsidR="0087786B" w:rsidRPr="0087786B" w14:paraId="0A89AB5E" w14:textId="77777777" w:rsidTr="00416682">
        <w:trPr>
          <w:trHeight w:val="853"/>
        </w:trPr>
        <w:tc>
          <w:tcPr>
            <w:tcW w:w="1361" w:type="dxa"/>
            <w:noWrap/>
            <w:hideMark/>
          </w:tcPr>
          <w:p w14:paraId="124EF3B8"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79E88C44" w14:textId="67830EBB" w:rsidR="0087786B" w:rsidRPr="0087786B" w:rsidRDefault="004376A5" w:rsidP="004376A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Tordesillas</w:t>
            </w:r>
          </w:p>
        </w:tc>
        <w:tc>
          <w:tcPr>
            <w:tcW w:w="3101" w:type="dxa"/>
            <w:hideMark/>
          </w:tcPr>
          <w:p w14:paraId="695A1645" w14:textId="61C7776F" w:rsidR="0087786B" w:rsidRPr="0087786B" w:rsidRDefault="004376A5" w:rsidP="004376A5">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Consolidación</w:t>
            </w:r>
            <w:r w:rsidR="0087786B" w:rsidRPr="0087786B">
              <w:rPr>
                <w:rFonts w:ascii="Arial" w:eastAsiaTheme="minorHAnsi" w:hAnsi="Arial" w:cs="Arial"/>
                <w:bCs/>
                <w:lang w:eastAsia="en-US"/>
              </w:rPr>
              <w:t xml:space="preserve"> de la oferta patrimonial e </w:t>
            </w:r>
            <w:r w:rsidRPr="0087786B">
              <w:rPr>
                <w:rFonts w:ascii="Arial" w:eastAsiaTheme="minorHAnsi" w:hAnsi="Arial" w:cs="Arial"/>
                <w:bCs/>
                <w:lang w:eastAsia="en-US"/>
              </w:rPr>
              <w:t>histórica</w:t>
            </w:r>
            <w:r w:rsidR="0087786B" w:rsidRPr="0087786B">
              <w:rPr>
                <w:rFonts w:ascii="Arial" w:eastAsiaTheme="minorHAnsi" w:hAnsi="Arial" w:cs="Arial"/>
                <w:bCs/>
                <w:lang w:eastAsia="en-US"/>
              </w:rPr>
              <w:t xml:space="preserve"> de Tordesillas </w:t>
            </w:r>
          </w:p>
        </w:tc>
        <w:tc>
          <w:tcPr>
            <w:tcW w:w="1553" w:type="dxa"/>
            <w:noWrap/>
            <w:hideMark/>
          </w:tcPr>
          <w:p w14:paraId="401541CA"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1.500.000,00 €</w:t>
            </w:r>
          </w:p>
        </w:tc>
      </w:tr>
      <w:tr w:rsidR="0087786B" w:rsidRPr="0087786B" w14:paraId="0AF923B3" w14:textId="77777777" w:rsidTr="00416682">
        <w:trPr>
          <w:trHeight w:val="525"/>
        </w:trPr>
        <w:tc>
          <w:tcPr>
            <w:tcW w:w="1361" w:type="dxa"/>
            <w:noWrap/>
            <w:hideMark/>
          </w:tcPr>
          <w:p w14:paraId="5E7FE57A"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6B93593A" w14:textId="3C204C63" w:rsidR="0087786B" w:rsidRPr="0087786B" w:rsidRDefault="004376A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Co</w:t>
            </w:r>
            <w:r>
              <w:rPr>
                <w:rFonts w:ascii="Arial" w:eastAsiaTheme="minorHAnsi" w:hAnsi="Arial" w:cs="Arial"/>
                <w:bCs/>
                <w:lang w:eastAsia="en-US"/>
              </w:rPr>
              <w:t>nsorcio de la ruta del vino de R</w:t>
            </w:r>
            <w:r w:rsidRPr="0087786B">
              <w:rPr>
                <w:rFonts w:ascii="Arial" w:eastAsiaTheme="minorHAnsi" w:hAnsi="Arial" w:cs="Arial"/>
                <w:bCs/>
                <w:lang w:eastAsia="en-US"/>
              </w:rPr>
              <w:t>ueda</w:t>
            </w:r>
          </w:p>
        </w:tc>
        <w:tc>
          <w:tcPr>
            <w:tcW w:w="3101" w:type="dxa"/>
            <w:hideMark/>
          </w:tcPr>
          <w:p w14:paraId="0ED2F31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de la Ruta del Vino de Rueda</w:t>
            </w:r>
          </w:p>
        </w:tc>
        <w:tc>
          <w:tcPr>
            <w:tcW w:w="1553" w:type="dxa"/>
            <w:noWrap/>
            <w:hideMark/>
          </w:tcPr>
          <w:p w14:paraId="4DC49E49"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1.580.000,00 €</w:t>
            </w:r>
          </w:p>
        </w:tc>
      </w:tr>
      <w:tr w:rsidR="0087786B" w:rsidRPr="0087786B" w14:paraId="74972D5F" w14:textId="77777777" w:rsidTr="00416682">
        <w:trPr>
          <w:trHeight w:val="525"/>
        </w:trPr>
        <w:tc>
          <w:tcPr>
            <w:tcW w:w="1361" w:type="dxa"/>
            <w:noWrap/>
            <w:hideMark/>
          </w:tcPr>
          <w:p w14:paraId="12DB40F4"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00578997" w14:textId="1773EB06" w:rsidR="0087786B" w:rsidRPr="0087786B" w:rsidRDefault="004376A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 de Valladolid</w:t>
            </w:r>
          </w:p>
        </w:tc>
        <w:tc>
          <w:tcPr>
            <w:tcW w:w="3101" w:type="dxa"/>
            <w:hideMark/>
          </w:tcPr>
          <w:p w14:paraId="39461B21" w14:textId="5E8531FF"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Castillos de Vallado</w:t>
            </w:r>
            <w:r w:rsidR="004376A5">
              <w:rPr>
                <w:rFonts w:ascii="Arial" w:eastAsiaTheme="minorHAnsi" w:hAnsi="Arial" w:cs="Arial"/>
                <w:bCs/>
                <w:lang w:eastAsia="en-US"/>
              </w:rPr>
              <w:t>lid: Observa, disfruta y cuenta</w:t>
            </w:r>
          </w:p>
        </w:tc>
        <w:tc>
          <w:tcPr>
            <w:tcW w:w="1553" w:type="dxa"/>
            <w:noWrap/>
            <w:hideMark/>
          </w:tcPr>
          <w:p w14:paraId="518BA07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2.100.000,00 €</w:t>
            </w:r>
          </w:p>
        </w:tc>
      </w:tr>
      <w:tr w:rsidR="0087786B" w:rsidRPr="0087786B" w14:paraId="4C2BE0A5" w14:textId="77777777" w:rsidTr="00416682">
        <w:trPr>
          <w:trHeight w:val="525"/>
        </w:trPr>
        <w:tc>
          <w:tcPr>
            <w:tcW w:w="1361" w:type="dxa"/>
            <w:noWrap/>
            <w:hideMark/>
          </w:tcPr>
          <w:p w14:paraId="66B48E4B"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37C3CBF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Municipios de la CA CyL</w:t>
            </w:r>
          </w:p>
        </w:tc>
        <w:tc>
          <w:tcPr>
            <w:tcW w:w="3101" w:type="dxa"/>
            <w:hideMark/>
          </w:tcPr>
          <w:p w14:paraId="6D744161" w14:textId="34E70A99" w:rsidR="0087786B" w:rsidRPr="0087786B" w:rsidRDefault="004376A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ACD </w:t>
            </w:r>
            <w:r w:rsidRPr="0087786B">
              <w:rPr>
                <w:rFonts w:ascii="Arial" w:eastAsiaTheme="minorHAnsi" w:hAnsi="Arial" w:cs="Arial"/>
                <w:bCs/>
                <w:lang w:eastAsia="en-US"/>
              </w:rPr>
              <w:t>S</w:t>
            </w:r>
            <w:r>
              <w:rPr>
                <w:rFonts w:ascii="Arial" w:eastAsiaTheme="minorHAnsi" w:hAnsi="Arial" w:cs="Arial"/>
                <w:bCs/>
                <w:lang w:eastAsia="en-US"/>
              </w:rPr>
              <w:t>iega Verde, Patrimonio Mundial d</w:t>
            </w:r>
            <w:r w:rsidRPr="0087786B">
              <w:rPr>
                <w:rFonts w:ascii="Arial" w:eastAsiaTheme="minorHAnsi" w:hAnsi="Arial" w:cs="Arial"/>
                <w:bCs/>
                <w:lang w:eastAsia="en-US"/>
              </w:rPr>
              <w:t>e La Humanidad</w:t>
            </w:r>
          </w:p>
        </w:tc>
        <w:tc>
          <w:tcPr>
            <w:tcW w:w="1553" w:type="dxa"/>
            <w:noWrap/>
            <w:hideMark/>
          </w:tcPr>
          <w:p w14:paraId="1FFD1C1A"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3.386.890,00 €</w:t>
            </w:r>
          </w:p>
        </w:tc>
      </w:tr>
      <w:tr w:rsidR="0087786B" w:rsidRPr="0087786B" w14:paraId="6EB346DF" w14:textId="77777777" w:rsidTr="00416682">
        <w:trPr>
          <w:trHeight w:val="525"/>
        </w:trPr>
        <w:tc>
          <w:tcPr>
            <w:tcW w:w="1361" w:type="dxa"/>
            <w:noWrap/>
            <w:hideMark/>
          </w:tcPr>
          <w:p w14:paraId="4A55F38E" w14:textId="77777777" w:rsidR="0087786B" w:rsidRPr="0087786B" w:rsidRDefault="0087786B" w:rsidP="007C25B7">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Castilla y León</w:t>
            </w:r>
          </w:p>
        </w:tc>
        <w:tc>
          <w:tcPr>
            <w:tcW w:w="2479" w:type="dxa"/>
            <w:noWrap/>
            <w:hideMark/>
          </w:tcPr>
          <w:p w14:paraId="5E6D71B7"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Municipios de la CA CyL</w:t>
            </w:r>
          </w:p>
        </w:tc>
        <w:tc>
          <w:tcPr>
            <w:tcW w:w="3101" w:type="dxa"/>
            <w:hideMark/>
          </w:tcPr>
          <w:p w14:paraId="27B05F3C" w14:textId="5A6C49BD" w:rsidR="0087786B" w:rsidRPr="0087786B" w:rsidRDefault="004376A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 ACD Valpuesta, Origen del Español</w:t>
            </w:r>
          </w:p>
        </w:tc>
        <w:tc>
          <w:tcPr>
            <w:tcW w:w="1553" w:type="dxa"/>
            <w:noWrap/>
            <w:hideMark/>
          </w:tcPr>
          <w:p w14:paraId="34424DE6"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3.277.110,00 €</w:t>
            </w:r>
          </w:p>
        </w:tc>
      </w:tr>
      <w:tr w:rsidR="0087786B" w:rsidRPr="0087786B" w14:paraId="606C71FF" w14:textId="77777777" w:rsidTr="00416682">
        <w:trPr>
          <w:trHeight w:val="670"/>
        </w:trPr>
        <w:tc>
          <w:tcPr>
            <w:tcW w:w="1361" w:type="dxa"/>
            <w:noWrap/>
            <w:hideMark/>
          </w:tcPr>
          <w:p w14:paraId="6EB2BC7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59F41663" w14:textId="57E59A35" w:rsidR="0087786B" w:rsidRPr="0087786B" w:rsidRDefault="004376A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Ajuntament d</w:t>
            </w:r>
            <w:r w:rsidRPr="0087786B">
              <w:rPr>
                <w:rFonts w:ascii="Arial" w:eastAsiaTheme="minorHAnsi" w:hAnsi="Arial" w:cs="Arial"/>
                <w:bCs/>
                <w:lang w:eastAsia="en-US"/>
              </w:rPr>
              <w:t>e Sitges</w:t>
            </w:r>
          </w:p>
        </w:tc>
        <w:tc>
          <w:tcPr>
            <w:tcW w:w="3101" w:type="dxa"/>
            <w:hideMark/>
          </w:tcPr>
          <w:p w14:paraId="040BBDFE"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del destino Sitges - PSTD Sitges</w:t>
            </w:r>
          </w:p>
        </w:tc>
        <w:tc>
          <w:tcPr>
            <w:tcW w:w="1553" w:type="dxa"/>
            <w:noWrap/>
            <w:hideMark/>
          </w:tcPr>
          <w:p w14:paraId="51846D9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5.000.000,00 €</w:t>
            </w:r>
          </w:p>
        </w:tc>
      </w:tr>
      <w:tr w:rsidR="0087786B" w:rsidRPr="0087786B" w14:paraId="03C1E8B3" w14:textId="77777777" w:rsidTr="00416682">
        <w:trPr>
          <w:trHeight w:val="525"/>
        </w:trPr>
        <w:tc>
          <w:tcPr>
            <w:tcW w:w="1361" w:type="dxa"/>
            <w:noWrap/>
            <w:hideMark/>
          </w:tcPr>
          <w:p w14:paraId="3B5E3C6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2940CD9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Ajuntament Vilanova i la Geltru</w:t>
            </w:r>
          </w:p>
        </w:tc>
        <w:tc>
          <w:tcPr>
            <w:tcW w:w="3101" w:type="dxa"/>
            <w:hideMark/>
          </w:tcPr>
          <w:p w14:paraId="361B9882"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Estrategia de Sostenibilidad Turistica en Destinos</w:t>
            </w:r>
          </w:p>
        </w:tc>
        <w:tc>
          <w:tcPr>
            <w:tcW w:w="1553" w:type="dxa"/>
            <w:noWrap/>
            <w:hideMark/>
          </w:tcPr>
          <w:p w14:paraId="5BB682B9"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2.025.500,00 €</w:t>
            </w:r>
          </w:p>
        </w:tc>
      </w:tr>
      <w:tr w:rsidR="0087786B" w:rsidRPr="0087786B" w14:paraId="6FEA0997" w14:textId="77777777" w:rsidTr="00416682">
        <w:trPr>
          <w:trHeight w:val="1035"/>
        </w:trPr>
        <w:tc>
          <w:tcPr>
            <w:tcW w:w="1361" w:type="dxa"/>
            <w:noWrap/>
            <w:hideMark/>
          </w:tcPr>
          <w:p w14:paraId="4108C74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08D308F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Calella</w:t>
            </w:r>
          </w:p>
        </w:tc>
        <w:tc>
          <w:tcPr>
            <w:tcW w:w="3101" w:type="dxa"/>
            <w:hideMark/>
          </w:tcPr>
          <w:p w14:paraId="230B37A8" w14:textId="53504564" w:rsidR="0087786B" w:rsidRPr="0087786B" w:rsidRDefault="0087786B" w:rsidP="004376A5">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 xml:space="preserve">Calella: </w:t>
            </w:r>
            <w:r w:rsidR="004376A5" w:rsidRPr="0087786B">
              <w:rPr>
                <w:rFonts w:ascii="Arial" w:eastAsiaTheme="minorHAnsi" w:hAnsi="Arial" w:cs="Arial"/>
                <w:bCs/>
                <w:lang w:eastAsia="en-US"/>
              </w:rPr>
              <w:t>optimización</w:t>
            </w:r>
            <w:r w:rsidRPr="0087786B">
              <w:rPr>
                <w:rFonts w:ascii="Arial" w:eastAsiaTheme="minorHAnsi" w:hAnsi="Arial" w:cs="Arial"/>
                <w:bCs/>
                <w:lang w:eastAsia="en-US"/>
              </w:rPr>
              <w:t xml:space="preserve"> de la </w:t>
            </w:r>
            <w:r w:rsidR="004376A5" w:rsidRPr="0087786B">
              <w:rPr>
                <w:rFonts w:ascii="Arial" w:eastAsiaTheme="minorHAnsi" w:hAnsi="Arial" w:cs="Arial"/>
                <w:bCs/>
                <w:lang w:eastAsia="en-US"/>
              </w:rPr>
              <w:t>gestión</w:t>
            </w:r>
            <w:r w:rsidRPr="0087786B">
              <w:rPr>
                <w:rFonts w:ascii="Arial" w:eastAsiaTheme="minorHAnsi" w:hAnsi="Arial" w:cs="Arial"/>
                <w:bCs/>
                <w:lang w:eastAsia="en-US"/>
              </w:rPr>
              <w:t xml:space="preserve"> </w:t>
            </w:r>
            <w:r w:rsidR="004376A5" w:rsidRPr="0087786B">
              <w:rPr>
                <w:rFonts w:ascii="Arial" w:eastAsiaTheme="minorHAnsi" w:hAnsi="Arial" w:cs="Arial"/>
                <w:bCs/>
                <w:lang w:eastAsia="en-US"/>
              </w:rPr>
              <w:t>hídrica</w:t>
            </w:r>
            <w:r w:rsidRPr="0087786B">
              <w:rPr>
                <w:rFonts w:ascii="Arial" w:eastAsiaTheme="minorHAnsi" w:hAnsi="Arial" w:cs="Arial"/>
                <w:bCs/>
                <w:lang w:eastAsia="en-US"/>
              </w:rPr>
              <w:t xml:space="preserve">, </w:t>
            </w:r>
            <w:r w:rsidR="004376A5" w:rsidRPr="0087786B">
              <w:rPr>
                <w:rFonts w:ascii="Arial" w:eastAsiaTheme="minorHAnsi" w:hAnsi="Arial" w:cs="Arial"/>
                <w:bCs/>
                <w:lang w:eastAsia="en-US"/>
              </w:rPr>
              <w:t>adecuación</w:t>
            </w:r>
            <w:r w:rsidRPr="0087786B">
              <w:rPr>
                <w:rFonts w:ascii="Arial" w:eastAsiaTheme="minorHAnsi" w:hAnsi="Arial" w:cs="Arial"/>
                <w:bCs/>
                <w:lang w:eastAsia="en-US"/>
              </w:rPr>
              <w:t xml:space="preserve"> del litoral y </w:t>
            </w:r>
            <w:r w:rsidR="004376A5" w:rsidRPr="0087786B">
              <w:rPr>
                <w:rFonts w:ascii="Arial" w:eastAsiaTheme="minorHAnsi" w:hAnsi="Arial" w:cs="Arial"/>
                <w:bCs/>
                <w:lang w:eastAsia="en-US"/>
              </w:rPr>
              <w:t>transformación</w:t>
            </w:r>
            <w:r w:rsidRPr="0087786B">
              <w:rPr>
                <w:rFonts w:ascii="Arial" w:eastAsiaTheme="minorHAnsi" w:hAnsi="Arial" w:cs="Arial"/>
                <w:bCs/>
                <w:lang w:eastAsia="en-US"/>
              </w:rPr>
              <w:t xml:space="preserve"> inteligente.</w:t>
            </w:r>
          </w:p>
        </w:tc>
        <w:tc>
          <w:tcPr>
            <w:tcW w:w="1553" w:type="dxa"/>
            <w:noWrap/>
            <w:hideMark/>
          </w:tcPr>
          <w:p w14:paraId="0062F8A9"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5.086.430,47 €</w:t>
            </w:r>
          </w:p>
        </w:tc>
      </w:tr>
      <w:tr w:rsidR="0087786B" w:rsidRPr="0087786B" w14:paraId="2BDB771B" w14:textId="77777777" w:rsidTr="00416682">
        <w:trPr>
          <w:trHeight w:val="525"/>
        </w:trPr>
        <w:tc>
          <w:tcPr>
            <w:tcW w:w="1361" w:type="dxa"/>
            <w:noWrap/>
            <w:hideMark/>
          </w:tcPr>
          <w:p w14:paraId="007EC76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1AB50267"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Consell Comarcal del Maresme</w:t>
            </w:r>
          </w:p>
        </w:tc>
        <w:tc>
          <w:tcPr>
            <w:tcW w:w="3101" w:type="dxa"/>
            <w:hideMark/>
          </w:tcPr>
          <w:p w14:paraId="2D29FB8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Estrategia de Sostenibilidad Turistica en Destinos</w:t>
            </w:r>
          </w:p>
        </w:tc>
        <w:tc>
          <w:tcPr>
            <w:tcW w:w="1553" w:type="dxa"/>
            <w:noWrap/>
            <w:hideMark/>
          </w:tcPr>
          <w:p w14:paraId="3EA3C579"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3.090.631,00 €</w:t>
            </w:r>
          </w:p>
        </w:tc>
      </w:tr>
      <w:tr w:rsidR="0087786B" w:rsidRPr="0087786B" w14:paraId="4EB608C4" w14:textId="77777777" w:rsidTr="00416682">
        <w:trPr>
          <w:trHeight w:val="567"/>
        </w:trPr>
        <w:tc>
          <w:tcPr>
            <w:tcW w:w="1361" w:type="dxa"/>
            <w:noWrap/>
            <w:hideMark/>
          </w:tcPr>
          <w:p w14:paraId="1D75153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2FBA85C4" w14:textId="1B695DAF" w:rsidR="0087786B" w:rsidRPr="0087786B" w:rsidRDefault="004376A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w:t>
            </w:r>
            <w:r w:rsidR="0087786B" w:rsidRPr="0087786B">
              <w:rPr>
                <w:rFonts w:ascii="Arial" w:eastAsiaTheme="minorHAnsi" w:hAnsi="Arial" w:cs="Arial"/>
                <w:bCs/>
                <w:lang w:eastAsia="en-US"/>
              </w:rPr>
              <w:t xml:space="preserve"> de Barcelona</w:t>
            </w:r>
          </w:p>
        </w:tc>
        <w:tc>
          <w:tcPr>
            <w:tcW w:w="3101" w:type="dxa"/>
            <w:hideMark/>
          </w:tcPr>
          <w:p w14:paraId="21AA73F1" w14:textId="5AC04DCA" w:rsidR="0087786B" w:rsidRPr="0087786B" w:rsidRDefault="0087786B" w:rsidP="004376A5">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PSTD C</w:t>
            </w:r>
            <w:r w:rsidR="004376A5">
              <w:rPr>
                <w:rFonts w:ascii="Arial" w:eastAsiaTheme="minorHAnsi" w:hAnsi="Arial" w:cs="Arial"/>
                <w:bCs/>
                <w:lang w:eastAsia="en-US"/>
              </w:rPr>
              <w:t>osta Barcelona Delta Llobregat.</w:t>
            </w:r>
          </w:p>
        </w:tc>
        <w:tc>
          <w:tcPr>
            <w:tcW w:w="1553" w:type="dxa"/>
            <w:noWrap/>
            <w:hideMark/>
          </w:tcPr>
          <w:p w14:paraId="232E9FD2"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06F6A125" w14:textId="77777777" w:rsidTr="00416682">
        <w:trPr>
          <w:trHeight w:val="780"/>
        </w:trPr>
        <w:tc>
          <w:tcPr>
            <w:tcW w:w="1361" w:type="dxa"/>
            <w:noWrap/>
            <w:hideMark/>
          </w:tcPr>
          <w:p w14:paraId="387B1A0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65A140D3"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Ajuntament Castello d'Empuries</w:t>
            </w:r>
          </w:p>
        </w:tc>
        <w:tc>
          <w:tcPr>
            <w:tcW w:w="3101" w:type="dxa"/>
            <w:hideMark/>
          </w:tcPr>
          <w:p w14:paraId="7640BBC9"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Castello d'Empuries, dues ànimes de cultura, natura i esport</w:t>
            </w:r>
          </w:p>
        </w:tc>
        <w:tc>
          <w:tcPr>
            <w:tcW w:w="1553" w:type="dxa"/>
            <w:noWrap/>
            <w:hideMark/>
          </w:tcPr>
          <w:p w14:paraId="2C7105C2"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6AAC702B" w14:textId="77777777" w:rsidTr="00416682">
        <w:trPr>
          <w:trHeight w:val="525"/>
        </w:trPr>
        <w:tc>
          <w:tcPr>
            <w:tcW w:w="1361" w:type="dxa"/>
            <w:noWrap/>
            <w:hideMark/>
          </w:tcPr>
          <w:p w14:paraId="3E90CEB9"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5457779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Ajuntament de Begur</w:t>
            </w:r>
          </w:p>
        </w:tc>
        <w:tc>
          <w:tcPr>
            <w:tcW w:w="3101" w:type="dxa"/>
            <w:hideMark/>
          </w:tcPr>
          <w:p w14:paraId="3A9369F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Estrategia de Sostenibilidad Turistica en Destinos</w:t>
            </w:r>
          </w:p>
        </w:tc>
        <w:tc>
          <w:tcPr>
            <w:tcW w:w="1553" w:type="dxa"/>
            <w:noWrap/>
            <w:hideMark/>
          </w:tcPr>
          <w:p w14:paraId="44542216"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3.084.938,53 €</w:t>
            </w:r>
          </w:p>
        </w:tc>
      </w:tr>
      <w:tr w:rsidR="0087786B" w:rsidRPr="0087786B" w14:paraId="293AF99F" w14:textId="77777777" w:rsidTr="00416682">
        <w:trPr>
          <w:trHeight w:val="525"/>
        </w:trPr>
        <w:tc>
          <w:tcPr>
            <w:tcW w:w="1361" w:type="dxa"/>
            <w:noWrap/>
            <w:hideMark/>
          </w:tcPr>
          <w:p w14:paraId="74581B1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7313B8F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Ajuntament de Cadaques</w:t>
            </w:r>
          </w:p>
        </w:tc>
        <w:tc>
          <w:tcPr>
            <w:tcW w:w="3101" w:type="dxa"/>
            <w:hideMark/>
          </w:tcPr>
          <w:p w14:paraId="56ABA862"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Estrategia de Sostenibilidad Turistica en Destinos</w:t>
            </w:r>
          </w:p>
        </w:tc>
        <w:tc>
          <w:tcPr>
            <w:tcW w:w="1553" w:type="dxa"/>
            <w:noWrap/>
            <w:hideMark/>
          </w:tcPr>
          <w:p w14:paraId="12678A8D"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2.692.500,00 €</w:t>
            </w:r>
          </w:p>
        </w:tc>
      </w:tr>
      <w:tr w:rsidR="0087786B" w:rsidRPr="0087786B" w14:paraId="7E5BFE38" w14:textId="77777777" w:rsidTr="00416682">
        <w:trPr>
          <w:trHeight w:val="525"/>
        </w:trPr>
        <w:tc>
          <w:tcPr>
            <w:tcW w:w="1361" w:type="dxa"/>
            <w:noWrap/>
            <w:hideMark/>
          </w:tcPr>
          <w:p w14:paraId="56871DA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1889882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Ajuntament de l'Escala</w:t>
            </w:r>
          </w:p>
        </w:tc>
        <w:tc>
          <w:tcPr>
            <w:tcW w:w="3101" w:type="dxa"/>
            <w:hideMark/>
          </w:tcPr>
          <w:p w14:paraId="6F391D0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Estrategia de Sostenibilidad Turistica en Destinos</w:t>
            </w:r>
          </w:p>
        </w:tc>
        <w:tc>
          <w:tcPr>
            <w:tcW w:w="1553" w:type="dxa"/>
            <w:noWrap/>
            <w:hideMark/>
          </w:tcPr>
          <w:p w14:paraId="7D1A8B39"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2.520.000,00 €</w:t>
            </w:r>
          </w:p>
        </w:tc>
      </w:tr>
      <w:tr w:rsidR="0087786B" w:rsidRPr="0087786B" w14:paraId="40D29FE1" w14:textId="77777777" w:rsidTr="00416682">
        <w:trPr>
          <w:trHeight w:val="780"/>
        </w:trPr>
        <w:tc>
          <w:tcPr>
            <w:tcW w:w="1361" w:type="dxa"/>
            <w:noWrap/>
            <w:hideMark/>
          </w:tcPr>
          <w:p w14:paraId="2A34959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3E5AB2D1" w14:textId="6697B0BF" w:rsidR="0087786B" w:rsidRPr="0087786B" w:rsidRDefault="004376A5" w:rsidP="004376A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de P</w:t>
            </w:r>
            <w:r w:rsidRPr="0087786B">
              <w:rPr>
                <w:rFonts w:ascii="Arial" w:eastAsiaTheme="minorHAnsi" w:hAnsi="Arial" w:cs="Arial"/>
                <w:bCs/>
                <w:lang w:eastAsia="en-US"/>
              </w:rPr>
              <w:t>alafrugell</w:t>
            </w:r>
          </w:p>
        </w:tc>
        <w:tc>
          <w:tcPr>
            <w:tcW w:w="3101" w:type="dxa"/>
            <w:hideMark/>
          </w:tcPr>
          <w:p w14:paraId="388ADF48" w14:textId="1A2C9CD5" w:rsidR="0087786B" w:rsidRPr="0087786B" w:rsidRDefault="004376A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Palafrugell, palanca para la mejora del modelo turístico</w:t>
            </w:r>
          </w:p>
        </w:tc>
        <w:tc>
          <w:tcPr>
            <w:tcW w:w="1553" w:type="dxa"/>
            <w:noWrap/>
            <w:hideMark/>
          </w:tcPr>
          <w:p w14:paraId="42A4A17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349ECF80" w14:textId="77777777" w:rsidTr="00416682">
        <w:trPr>
          <w:trHeight w:val="1044"/>
        </w:trPr>
        <w:tc>
          <w:tcPr>
            <w:tcW w:w="1361" w:type="dxa"/>
            <w:noWrap/>
            <w:hideMark/>
          </w:tcPr>
          <w:p w14:paraId="6B4C522D"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69F98793" w14:textId="7BBF6529" w:rsidR="0087786B" w:rsidRPr="0087786B" w:rsidRDefault="004376A5" w:rsidP="004376A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de P</w:t>
            </w:r>
            <w:r w:rsidRPr="0087786B">
              <w:rPr>
                <w:rFonts w:ascii="Arial" w:eastAsiaTheme="minorHAnsi" w:hAnsi="Arial" w:cs="Arial"/>
                <w:bCs/>
                <w:lang w:eastAsia="en-US"/>
              </w:rPr>
              <w:t>alamos</w:t>
            </w:r>
          </w:p>
        </w:tc>
        <w:tc>
          <w:tcPr>
            <w:tcW w:w="3101" w:type="dxa"/>
            <w:hideMark/>
          </w:tcPr>
          <w:p w14:paraId="24D2FCBA" w14:textId="199ABE8D" w:rsidR="0087786B" w:rsidRPr="0087786B" w:rsidRDefault="004376A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Impulso del turismo sostenible, la cohesión territorial y la eco movilidad en el litoral de Palamós como parte de la red dti</w:t>
            </w:r>
          </w:p>
        </w:tc>
        <w:tc>
          <w:tcPr>
            <w:tcW w:w="1553" w:type="dxa"/>
            <w:noWrap/>
            <w:hideMark/>
          </w:tcPr>
          <w:p w14:paraId="4D363BB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3.000.000,00 €</w:t>
            </w:r>
          </w:p>
        </w:tc>
      </w:tr>
      <w:tr w:rsidR="0087786B" w:rsidRPr="0087786B" w14:paraId="049D4B94" w14:textId="77777777" w:rsidTr="00416682">
        <w:trPr>
          <w:trHeight w:val="1102"/>
        </w:trPr>
        <w:tc>
          <w:tcPr>
            <w:tcW w:w="1361" w:type="dxa"/>
            <w:noWrap/>
            <w:hideMark/>
          </w:tcPr>
          <w:p w14:paraId="4B8B356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368D347F" w14:textId="43894053" w:rsidR="0087786B" w:rsidRPr="0087786B" w:rsidRDefault="004376A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w:t>
            </w:r>
            <w:r>
              <w:rPr>
                <w:rFonts w:ascii="Arial" w:eastAsiaTheme="minorHAnsi" w:hAnsi="Arial" w:cs="Arial"/>
                <w:bCs/>
                <w:lang w:eastAsia="en-US"/>
              </w:rPr>
              <w:t xml:space="preserve"> de G</w:t>
            </w:r>
            <w:r w:rsidRPr="0087786B">
              <w:rPr>
                <w:rFonts w:ascii="Arial" w:eastAsiaTheme="minorHAnsi" w:hAnsi="Arial" w:cs="Arial"/>
                <w:bCs/>
                <w:lang w:eastAsia="en-US"/>
              </w:rPr>
              <w:t>irona</w:t>
            </w:r>
          </w:p>
        </w:tc>
        <w:tc>
          <w:tcPr>
            <w:tcW w:w="3101" w:type="dxa"/>
            <w:hideMark/>
          </w:tcPr>
          <w:p w14:paraId="6223B1D1" w14:textId="330EA286"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Riunatur: </w:t>
            </w:r>
            <w:r w:rsidR="004376A5" w:rsidRPr="0087786B">
              <w:rPr>
                <w:rFonts w:ascii="Arial" w:eastAsiaTheme="minorHAnsi" w:hAnsi="Arial" w:cs="Arial"/>
                <w:bCs/>
                <w:lang w:eastAsia="en-US"/>
              </w:rPr>
              <w:t>desconcentración</w:t>
            </w:r>
            <w:r w:rsidRPr="0087786B">
              <w:rPr>
                <w:rFonts w:ascii="Arial" w:eastAsiaTheme="minorHAnsi" w:hAnsi="Arial" w:cs="Arial"/>
                <w:bCs/>
                <w:lang w:eastAsia="en-US"/>
              </w:rPr>
              <w:t xml:space="preserve"> y </w:t>
            </w:r>
            <w:r w:rsidR="004376A5" w:rsidRPr="0087786B">
              <w:rPr>
                <w:rFonts w:ascii="Arial" w:eastAsiaTheme="minorHAnsi" w:hAnsi="Arial" w:cs="Arial"/>
                <w:bCs/>
                <w:lang w:eastAsia="en-US"/>
              </w:rPr>
              <w:t>dinamización</w:t>
            </w:r>
            <w:r w:rsidRPr="0087786B">
              <w:rPr>
                <w:rFonts w:ascii="Arial" w:eastAsiaTheme="minorHAnsi" w:hAnsi="Arial" w:cs="Arial"/>
                <w:bCs/>
                <w:lang w:eastAsia="en-US"/>
              </w:rPr>
              <w:t xml:space="preserve"> </w:t>
            </w:r>
            <w:r w:rsidR="004376A5" w:rsidRPr="0087786B">
              <w:rPr>
                <w:rFonts w:ascii="Arial" w:eastAsiaTheme="minorHAnsi" w:hAnsi="Arial" w:cs="Arial"/>
                <w:bCs/>
                <w:lang w:eastAsia="en-US"/>
              </w:rPr>
              <w:t>turística</w:t>
            </w:r>
            <w:r w:rsidRPr="0087786B">
              <w:rPr>
                <w:rFonts w:ascii="Arial" w:eastAsiaTheme="minorHAnsi" w:hAnsi="Arial" w:cs="Arial"/>
                <w:bCs/>
                <w:lang w:eastAsia="en-US"/>
              </w:rPr>
              <w:t xml:space="preserve"> sostenible en espacios de baño interiores de las comarcas de Girona.</w:t>
            </w:r>
          </w:p>
        </w:tc>
        <w:tc>
          <w:tcPr>
            <w:tcW w:w="1553" w:type="dxa"/>
            <w:noWrap/>
            <w:hideMark/>
          </w:tcPr>
          <w:p w14:paraId="0E699C49"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3.170.000,00 €</w:t>
            </w:r>
          </w:p>
        </w:tc>
      </w:tr>
      <w:tr w:rsidR="0087786B" w:rsidRPr="0087786B" w14:paraId="187EDC9A" w14:textId="77777777" w:rsidTr="00416682">
        <w:trPr>
          <w:trHeight w:val="551"/>
        </w:trPr>
        <w:tc>
          <w:tcPr>
            <w:tcW w:w="1361" w:type="dxa"/>
            <w:noWrap/>
            <w:hideMark/>
          </w:tcPr>
          <w:p w14:paraId="216922F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596E378A" w14:textId="6436AB32" w:rsidR="0087786B" w:rsidRPr="0087786B" w:rsidRDefault="004376A5" w:rsidP="004376A5">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Ajuntament d</w:t>
            </w:r>
            <w:r w:rsidRPr="0087786B">
              <w:rPr>
                <w:rFonts w:ascii="Arial" w:eastAsiaTheme="minorHAnsi" w:hAnsi="Arial" w:cs="Arial"/>
                <w:bCs/>
                <w:lang w:eastAsia="en-US"/>
              </w:rPr>
              <w:t>e Cambrils</w:t>
            </w:r>
            <w:r w:rsidR="0087786B" w:rsidRPr="0087786B">
              <w:rPr>
                <w:rFonts w:ascii="Arial" w:eastAsiaTheme="minorHAnsi" w:hAnsi="Arial" w:cs="Arial"/>
                <w:bCs/>
                <w:lang w:eastAsia="en-US"/>
              </w:rPr>
              <w:t xml:space="preserve">. </w:t>
            </w:r>
          </w:p>
        </w:tc>
        <w:tc>
          <w:tcPr>
            <w:tcW w:w="3101" w:type="dxa"/>
            <w:hideMark/>
          </w:tcPr>
          <w:p w14:paraId="7455879D" w14:textId="0A54053D" w:rsidR="0087786B" w:rsidRPr="0087786B" w:rsidRDefault="0087786B" w:rsidP="004376A5">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Cambrils. Villa</w:t>
            </w:r>
            <w:r w:rsidR="004376A5">
              <w:rPr>
                <w:rFonts w:ascii="Arial" w:eastAsiaTheme="minorHAnsi" w:hAnsi="Arial" w:cs="Arial"/>
                <w:bCs/>
                <w:lang w:eastAsia="en-US"/>
              </w:rPr>
              <w:t xml:space="preserve"> Marinera Sostenible.</w:t>
            </w:r>
          </w:p>
        </w:tc>
        <w:tc>
          <w:tcPr>
            <w:tcW w:w="1553" w:type="dxa"/>
            <w:noWrap/>
            <w:hideMark/>
          </w:tcPr>
          <w:p w14:paraId="1040941D"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53AAA410" w14:textId="77777777" w:rsidTr="00416682">
        <w:trPr>
          <w:trHeight w:val="780"/>
        </w:trPr>
        <w:tc>
          <w:tcPr>
            <w:tcW w:w="1361" w:type="dxa"/>
            <w:noWrap/>
            <w:hideMark/>
          </w:tcPr>
          <w:p w14:paraId="55E1BF09"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506A93D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Ajuntament de l'Ametlla de Mar</w:t>
            </w:r>
          </w:p>
        </w:tc>
        <w:tc>
          <w:tcPr>
            <w:tcW w:w="3101" w:type="dxa"/>
            <w:hideMark/>
          </w:tcPr>
          <w:p w14:paraId="23B745BA" w14:textId="231A313B"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Plan de sostenibilidad </w:t>
            </w:r>
            <w:r w:rsidR="004376A5" w:rsidRPr="0087786B">
              <w:rPr>
                <w:rFonts w:ascii="Arial" w:eastAsiaTheme="minorHAnsi" w:hAnsi="Arial" w:cs="Arial"/>
                <w:bCs/>
                <w:lang w:eastAsia="en-US"/>
              </w:rPr>
              <w:t>turística</w:t>
            </w:r>
            <w:r w:rsidRPr="0087786B">
              <w:rPr>
                <w:rFonts w:ascii="Arial" w:eastAsiaTheme="minorHAnsi" w:hAnsi="Arial" w:cs="Arial"/>
                <w:bCs/>
                <w:lang w:eastAsia="en-US"/>
              </w:rPr>
              <w:t xml:space="preserve"> de L'Ametlla de Mar, la cala </w:t>
            </w:r>
            <w:r w:rsidR="004376A5" w:rsidRPr="0087786B">
              <w:rPr>
                <w:rFonts w:ascii="Arial" w:eastAsiaTheme="minorHAnsi" w:hAnsi="Arial" w:cs="Arial"/>
                <w:bCs/>
                <w:lang w:eastAsia="en-US"/>
              </w:rPr>
              <w:t>más</w:t>
            </w:r>
            <w:r w:rsidRPr="0087786B">
              <w:rPr>
                <w:rFonts w:ascii="Arial" w:eastAsiaTheme="minorHAnsi" w:hAnsi="Arial" w:cs="Arial"/>
                <w:bCs/>
                <w:lang w:eastAsia="en-US"/>
              </w:rPr>
              <w:t xml:space="preserve"> natural.</w:t>
            </w:r>
          </w:p>
        </w:tc>
        <w:tc>
          <w:tcPr>
            <w:tcW w:w="1553" w:type="dxa"/>
            <w:noWrap/>
            <w:hideMark/>
          </w:tcPr>
          <w:p w14:paraId="48FAAC2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2893DE1A" w14:textId="77777777" w:rsidTr="00416682">
        <w:trPr>
          <w:trHeight w:val="1039"/>
        </w:trPr>
        <w:tc>
          <w:tcPr>
            <w:tcW w:w="1361" w:type="dxa"/>
            <w:noWrap/>
            <w:hideMark/>
          </w:tcPr>
          <w:p w14:paraId="5464E27D"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3D51A5BC" w14:textId="59A47121" w:rsidR="0087786B" w:rsidRPr="0087786B" w:rsidRDefault="004376A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Ajuntament d</w:t>
            </w:r>
            <w:r w:rsidRPr="0087786B">
              <w:rPr>
                <w:rFonts w:ascii="Arial" w:eastAsiaTheme="minorHAnsi" w:hAnsi="Arial" w:cs="Arial"/>
                <w:bCs/>
                <w:lang w:eastAsia="en-US"/>
              </w:rPr>
              <w:t>e Salou</w:t>
            </w:r>
          </w:p>
        </w:tc>
        <w:tc>
          <w:tcPr>
            <w:tcW w:w="3101" w:type="dxa"/>
            <w:hideMark/>
          </w:tcPr>
          <w:p w14:paraId="004FEC5A" w14:textId="1C99E2C6" w:rsidR="0087786B" w:rsidRPr="0087786B" w:rsidRDefault="004376A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Salou: consolidación de un destino turístico sostenible, inteligente, inclusivo, accesible y activo.</w:t>
            </w:r>
          </w:p>
        </w:tc>
        <w:tc>
          <w:tcPr>
            <w:tcW w:w="1553" w:type="dxa"/>
            <w:noWrap/>
            <w:hideMark/>
          </w:tcPr>
          <w:p w14:paraId="152ADE0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5.000.000,00 €</w:t>
            </w:r>
          </w:p>
        </w:tc>
      </w:tr>
      <w:tr w:rsidR="0087786B" w:rsidRPr="0087786B" w14:paraId="593E6068" w14:textId="77777777" w:rsidTr="00416682">
        <w:trPr>
          <w:trHeight w:val="1035"/>
        </w:trPr>
        <w:tc>
          <w:tcPr>
            <w:tcW w:w="1361" w:type="dxa"/>
            <w:noWrap/>
            <w:hideMark/>
          </w:tcPr>
          <w:p w14:paraId="4BBC587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139A315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Deltebre</w:t>
            </w:r>
          </w:p>
        </w:tc>
        <w:tc>
          <w:tcPr>
            <w:tcW w:w="3101" w:type="dxa"/>
            <w:hideMark/>
          </w:tcPr>
          <w:p w14:paraId="1D645A62" w14:textId="0E12136C" w:rsidR="0087786B" w:rsidRPr="0087786B" w:rsidRDefault="0087786B"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Rotula, Red de Movilidad Sostenible en el Delta del Ebro: Paseo del Carrilet y Hub del Maset</w:t>
            </w:r>
          </w:p>
        </w:tc>
        <w:tc>
          <w:tcPr>
            <w:tcW w:w="1553" w:type="dxa"/>
            <w:noWrap/>
            <w:hideMark/>
          </w:tcPr>
          <w:p w14:paraId="2DEC31C7"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0076921A" w14:textId="77777777" w:rsidTr="00416682">
        <w:trPr>
          <w:trHeight w:val="780"/>
        </w:trPr>
        <w:tc>
          <w:tcPr>
            <w:tcW w:w="1361" w:type="dxa"/>
            <w:noWrap/>
            <w:hideMark/>
          </w:tcPr>
          <w:p w14:paraId="490549B3"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6AE942A6" w14:textId="44D17B59" w:rsidR="0087786B" w:rsidRPr="0087786B" w:rsidRDefault="00416682"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w:t>
            </w:r>
            <w:r>
              <w:rPr>
                <w:rFonts w:ascii="Arial" w:eastAsiaTheme="minorHAnsi" w:hAnsi="Arial" w:cs="Arial"/>
                <w:bCs/>
                <w:lang w:eastAsia="en-US"/>
              </w:rPr>
              <w:t>ntamiento de el V</w:t>
            </w:r>
            <w:r w:rsidRPr="0087786B">
              <w:rPr>
                <w:rFonts w:ascii="Arial" w:eastAsiaTheme="minorHAnsi" w:hAnsi="Arial" w:cs="Arial"/>
                <w:bCs/>
                <w:lang w:eastAsia="en-US"/>
              </w:rPr>
              <w:t>endrell</w:t>
            </w:r>
          </w:p>
        </w:tc>
        <w:tc>
          <w:tcPr>
            <w:tcW w:w="3101" w:type="dxa"/>
            <w:hideMark/>
          </w:tcPr>
          <w:p w14:paraId="11AEC65B" w14:textId="6B2B4319" w:rsidR="0087786B"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PSTD </w:t>
            </w:r>
            <w:r w:rsidR="0087786B" w:rsidRPr="0087786B">
              <w:rPr>
                <w:rFonts w:ascii="Arial" w:eastAsiaTheme="minorHAnsi" w:hAnsi="Arial" w:cs="Arial"/>
                <w:bCs/>
                <w:lang w:eastAsia="en-US"/>
              </w:rPr>
              <w:t>El Vendrell, Ciudad de la Musica</w:t>
            </w:r>
          </w:p>
        </w:tc>
        <w:tc>
          <w:tcPr>
            <w:tcW w:w="1553" w:type="dxa"/>
            <w:noWrap/>
            <w:hideMark/>
          </w:tcPr>
          <w:p w14:paraId="78FC41D5"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61BDFC13" w14:textId="77777777" w:rsidTr="00416682">
        <w:trPr>
          <w:trHeight w:val="525"/>
        </w:trPr>
        <w:tc>
          <w:tcPr>
            <w:tcW w:w="1361" w:type="dxa"/>
            <w:noWrap/>
            <w:hideMark/>
          </w:tcPr>
          <w:p w14:paraId="5FCF9D8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Cataluña</w:t>
            </w:r>
          </w:p>
        </w:tc>
        <w:tc>
          <w:tcPr>
            <w:tcW w:w="2479" w:type="dxa"/>
            <w:noWrap/>
            <w:hideMark/>
          </w:tcPr>
          <w:p w14:paraId="3ADB12B8" w14:textId="2353477E" w:rsidR="0087786B" w:rsidRPr="0087786B" w:rsidRDefault="00416682"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V</w:t>
            </w:r>
            <w:r w:rsidRPr="0087786B">
              <w:rPr>
                <w:rFonts w:ascii="Arial" w:eastAsiaTheme="minorHAnsi" w:hAnsi="Arial" w:cs="Arial"/>
                <w:bCs/>
                <w:lang w:eastAsia="en-US"/>
              </w:rPr>
              <w:t>ila-seca</w:t>
            </w:r>
          </w:p>
        </w:tc>
        <w:tc>
          <w:tcPr>
            <w:tcW w:w="3101" w:type="dxa"/>
            <w:hideMark/>
          </w:tcPr>
          <w:p w14:paraId="0169F783" w14:textId="21DA1385" w:rsidR="0087786B" w:rsidRPr="0087786B" w:rsidRDefault="00416682" w:rsidP="00416682">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Cal·Lipolis, e</w:t>
            </w:r>
            <w:r w:rsidRPr="0087786B">
              <w:rPr>
                <w:rFonts w:ascii="Arial" w:eastAsiaTheme="minorHAnsi" w:hAnsi="Arial" w:cs="Arial"/>
                <w:bCs/>
                <w:lang w:eastAsia="en-US"/>
              </w:rPr>
              <w:t>l Equilibrio Sostenible</w:t>
            </w:r>
          </w:p>
        </w:tc>
        <w:tc>
          <w:tcPr>
            <w:tcW w:w="1553" w:type="dxa"/>
            <w:noWrap/>
            <w:hideMark/>
          </w:tcPr>
          <w:p w14:paraId="594907D2"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5.000.000,00 €</w:t>
            </w:r>
          </w:p>
        </w:tc>
      </w:tr>
      <w:tr w:rsidR="00416682" w:rsidRPr="0087786B" w14:paraId="390E905F" w14:textId="77777777" w:rsidTr="00416682">
        <w:trPr>
          <w:trHeight w:val="1545"/>
        </w:trPr>
        <w:tc>
          <w:tcPr>
            <w:tcW w:w="1361" w:type="dxa"/>
            <w:noWrap/>
            <w:hideMark/>
          </w:tcPr>
          <w:p w14:paraId="507C42B6" w14:textId="5DDF006D" w:rsidR="00416682" w:rsidRPr="0087786B" w:rsidRDefault="00416682" w:rsidP="00416682">
            <w:pPr>
              <w:tabs>
                <w:tab w:val="left" w:pos="426"/>
              </w:tabs>
              <w:spacing w:line="276" w:lineRule="auto"/>
              <w:jc w:val="both"/>
              <w:rPr>
                <w:rFonts w:ascii="Arial" w:eastAsiaTheme="minorHAnsi" w:hAnsi="Arial" w:cs="Arial"/>
                <w:bCs/>
                <w:lang w:eastAsia="en-US"/>
              </w:rPr>
            </w:pPr>
            <w:r w:rsidRPr="00C03F2A">
              <w:rPr>
                <w:rFonts w:ascii="Arial" w:hAnsi="Arial" w:cs="Arial"/>
              </w:rPr>
              <w:t>Comunidad de Madrid</w:t>
            </w:r>
          </w:p>
        </w:tc>
        <w:tc>
          <w:tcPr>
            <w:tcW w:w="2479" w:type="dxa"/>
            <w:noWrap/>
            <w:hideMark/>
          </w:tcPr>
          <w:p w14:paraId="4A1829D7" w14:textId="6CBBEB00"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Asociación de Desarrollo Integral de la Sierra Oeste de Madrid</w:t>
            </w:r>
          </w:p>
        </w:tc>
        <w:tc>
          <w:tcPr>
            <w:tcW w:w="3101" w:type="dxa"/>
            <w:hideMark/>
          </w:tcPr>
          <w:p w14:paraId="1C0A0243" w14:textId="3C7CFC6D" w:rsidR="00416682" w:rsidRPr="0087786B" w:rsidRDefault="00416682" w:rsidP="00416682">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 xml:space="preserve">Ordenación y </w:t>
            </w:r>
            <w:r>
              <w:rPr>
                <w:rFonts w:ascii="Arial" w:eastAsiaTheme="minorHAnsi" w:hAnsi="Arial" w:cs="Arial"/>
                <w:bCs/>
                <w:lang w:eastAsia="en-US"/>
              </w:rPr>
              <w:t>dese</w:t>
            </w:r>
            <w:r w:rsidRPr="0087786B">
              <w:rPr>
                <w:rFonts w:ascii="Arial" w:eastAsiaTheme="minorHAnsi" w:hAnsi="Arial" w:cs="Arial"/>
                <w:bCs/>
                <w:lang w:eastAsia="en-US"/>
              </w:rPr>
              <w:t>stacionalización del turismo en los pantanos de San Juan y Picadas, en las Playas de Aldea del Fresno y en sus áreas de influencia.</w:t>
            </w:r>
          </w:p>
        </w:tc>
        <w:tc>
          <w:tcPr>
            <w:tcW w:w="1553" w:type="dxa"/>
            <w:noWrap/>
            <w:hideMark/>
          </w:tcPr>
          <w:p w14:paraId="4705800F"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2.600.000,00 €</w:t>
            </w:r>
          </w:p>
        </w:tc>
      </w:tr>
      <w:tr w:rsidR="00416682" w:rsidRPr="0087786B" w14:paraId="17C4D04D" w14:textId="77777777" w:rsidTr="00416682">
        <w:trPr>
          <w:trHeight w:val="525"/>
        </w:trPr>
        <w:tc>
          <w:tcPr>
            <w:tcW w:w="1361" w:type="dxa"/>
            <w:noWrap/>
            <w:hideMark/>
          </w:tcPr>
          <w:p w14:paraId="7EC56CF1" w14:textId="233B512B" w:rsidR="00416682" w:rsidRPr="0087786B" w:rsidRDefault="00416682" w:rsidP="00416682">
            <w:pPr>
              <w:tabs>
                <w:tab w:val="left" w:pos="426"/>
              </w:tabs>
              <w:spacing w:line="276" w:lineRule="auto"/>
              <w:jc w:val="both"/>
              <w:rPr>
                <w:rFonts w:ascii="Arial" w:eastAsiaTheme="minorHAnsi" w:hAnsi="Arial" w:cs="Arial"/>
                <w:bCs/>
                <w:lang w:eastAsia="en-US"/>
              </w:rPr>
            </w:pPr>
            <w:r w:rsidRPr="00C03F2A">
              <w:rPr>
                <w:rFonts w:ascii="Arial" w:hAnsi="Arial" w:cs="Arial"/>
              </w:rPr>
              <w:t>Comunidad de Madrid</w:t>
            </w:r>
          </w:p>
        </w:tc>
        <w:tc>
          <w:tcPr>
            <w:tcW w:w="2479" w:type="dxa"/>
            <w:noWrap/>
            <w:hideMark/>
          </w:tcPr>
          <w:p w14:paraId="76F150FC" w14:textId="5F828969"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Alcalá de Henares</w:t>
            </w:r>
          </w:p>
        </w:tc>
        <w:tc>
          <w:tcPr>
            <w:tcW w:w="3101" w:type="dxa"/>
            <w:hideMark/>
          </w:tcPr>
          <w:p w14:paraId="22BCC211" w14:textId="5CCC8AF5"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Alcalá Patrimonio- triangulo, verde e inmersivo</w:t>
            </w:r>
          </w:p>
        </w:tc>
        <w:tc>
          <w:tcPr>
            <w:tcW w:w="1553" w:type="dxa"/>
            <w:noWrap/>
            <w:hideMark/>
          </w:tcPr>
          <w:p w14:paraId="3E6DDD05"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2.100.000,00 €</w:t>
            </w:r>
          </w:p>
        </w:tc>
      </w:tr>
      <w:tr w:rsidR="00416682" w:rsidRPr="0087786B" w14:paraId="61672275" w14:textId="77777777" w:rsidTr="00416682">
        <w:trPr>
          <w:trHeight w:val="1035"/>
        </w:trPr>
        <w:tc>
          <w:tcPr>
            <w:tcW w:w="1361" w:type="dxa"/>
            <w:noWrap/>
            <w:hideMark/>
          </w:tcPr>
          <w:p w14:paraId="7477D863" w14:textId="2F29F4FE" w:rsidR="00416682" w:rsidRPr="0087786B" w:rsidRDefault="00416682" w:rsidP="00416682">
            <w:pPr>
              <w:tabs>
                <w:tab w:val="left" w:pos="426"/>
              </w:tabs>
              <w:spacing w:line="276" w:lineRule="auto"/>
              <w:jc w:val="both"/>
              <w:rPr>
                <w:rFonts w:ascii="Arial" w:eastAsiaTheme="minorHAnsi" w:hAnsi="Arial" w:cs="Arial"/>
                <w:bCs/>
                <w:lang w:eastAsia="en-US"/>
              </w:rPr>
            </w:pPr>
            <w:r w:rsidRPr="00C03F2A">
              <w:rPr>
                <w:rFonts w:ascii="Arial" w:hAnsi="Arial" w:cs="Arial"/>
              </w:rPr>
              <w:t>Comunidad de Madrid</w:t>
            </w:r>
          </w:p>
        </w:tc>
        <w:tc>
          <w:tcPr>
            <w:tcW w:w="2479" w:type="dxa"/>
            <w:noWrap/>
            <w:hideMark/>
          </w:tcPr>
          <w:p w14:paraId="34B53392" w14:textId="73BD5A8B"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Colmenar de O</w:t>
            </w:r>
            <w:r w:rsidRPr="0087786B">
              <w:rPr>
                <w:rFonts w:ascii="Arial" w:eastAsiaTheme="minorHAnsi" w:hAnsi="Arial" w:cs="Arial"/>
                <w:bCs/>
                <w:lang w:eastAsia="en-US"/>
              </w:rPr>
              <w:t>reja</w:t>
            </w:r>
          </w:p>
        </w:tc>
        <w:tc>
          <w:tcPr>
            <w:tcW w:w="3101" w:type="dxa"/>
            <w:hideMark/>
          </w:tcPr>
          <w:p w14:paraId="26882735" w14:textId="085F0ED1"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transformación a destino turístico</w:t>
            </w:r>
            <w:r>
              <w:rPr>
                <w:rFonts w:ascii="Arial" w:eastAsiaTheme="minorHAnsi" w:hAnsi="Arial" w:cs="Arial"/>
                <w:bCs/>
                <w:lang w:eastAsia="en-US"/>
              </w:rPr>
              <w:t xml:space="preserve"> inteligente de Colmenar de O</w:t>
            </w:r>
            <w:r w:rsidRPr="0087786B">
              <w:rPr>
                <w:rFonts w:ascii="Arial" w:eastAsiaTheme="minorHAnsi" w:hAnsi="Arial" w:cs="Arial"/>
                <w:bCs/>
                <w:lang w:eastAsia="en-US"/>
              </w:rPr>
              <w:t>reja</w:t>
            </w:r>
          </w:p>
        </w:tc>
        <w:tc>
          <w:tcPr>
            <w:tcW w:w="1553" w:type="dxa"/>
            <w:noWrap/>
            <w:hideMark/>
          </w:tcPr>
          <w:p w14:paraId="5054D473"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1.995.500,00 €</w:t>
            </w:r>
          </w:p>
        </w:tc>
      </w:tr>
      <w:tr w:rsidR="00416682" w:rsidRPr="0087786B" w14:paraId="272B4AFB" w14:textId="77777777" w:rsidTr="00416682">
        <w:trPr>
          <w:trHeight w:val="771"/>
        </w:trPr>
        <w:tc>
          <w:tcPr>
            <w:tcW w:w="1361" w:type="dxa"/>
            <w:noWrap/>
            <w:hideMark/>
          </w:tcPr>
          <w:p w14:paraId="4CA1C4CF" w14:textId="1633194D" w:rsidR="00416682" w:rsidRPr="0087786B" w:rsidRDefault="00416682" w:rsidP="00416682">
            <w:pPr>
              <w:tabs>
                <w:tab w:val="left" w:pos="426"/>
              </w:tabs>
              <w:spacing w:line="276" w:lineRule="auto"/>
              <w:jc w:val="both"/>
              <w:rPr>
                <w:rFonts w:ascii="Arial" w:eastAsiaTheme="minorHAnsi" w:hAnsi="Arial" w:cs="Arial"/>
                <w:bCs/>
                <w:lang w:eastAsia="en-US"/>
              </w:rPr>
            </w:pPr>
            <w:r w:rsidRPr="00C03F2A">
              <w:rPr>
                <w:rFonts w:ascii="Arial" w:hAnsi="Arial" w:cs="Arial"/>
              </w:rPr>
              <w:t>Comunidad de Madrid</w:t>
            </w:r>
          </w:p>
        </w:tc>
        <w:tc>
          <w:tcPr>
            <w:tcW w:w="2479" w:type="dxa"/>
            <w:noWrap/>
            <w:hideMark/>
          </w:tcPr>
          <w:p w14:paraId="75081F06" w14:textId="5752FF3E"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A</w:t>
            </w:r>
            <w:r w:rsidRPr="0087786B">
              <w:rPr>
                <w:rFonts w:ascii="Arial" w:eastAsiaTheme="minorHAnsi" w:hAnsi="Arial" w:cs="Arial"/>
                <w:bCs/>
                <w:lang w:eastAsia="en-US"/>
              </w:rPr>
              <w:t>ranjuez</w:t>
            </w:r>
          </w:p>
        </w:tc>
        <w:tc>
          <w:tcPr>
            <w:tcW w:w="3101" w:type="dxa"/>
            <w:hideMark/>
          </w:tcPr>
          <w:p w14:paraId="539B239D" w14:textId="3C0E4D12"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Recuperación de la entrada real de Aranjuez - tercer conjunto de actuaciones</w:t>
            </w:r>
          </w:p>
        </w:tc>
        <w:tc>
          <w:tcPr>
            <w:tcW w:w="1553" w:type="dxa"/>
            <w:noWrap/>
            <w:hideMark/>
          </w:tcPr>
          <w:p w14:paraId="01B21063"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2.100.000,00 €</w:t>
            </w:r>
          </w:p>
        </w:tc>
      </w:tr>
      <w:tr w:rsidR="00416682" w:rsidRPr="0087786B" w14:paraId="51667BED" w14:textId="77777777" w:rsidTr="00416682">
        <w:trPr>
          <w:trHeight w:val="780"/>
        </w:trPr>
        <w:tc>
          <w:tcPr>
            <w:tcW w:w="1361" w:type="dxa"/>
            <w:noWrap/>
            <w:hideMark/>
          </w:tcPr>
          <w:p w14:paraId="42E84EAF" w14:textId="5990E2D4" w:rsidR="00416682" w:rsidRPr="0087786B" w:rsidRDefault="00416682" w:rsidP="00416682">
            <w:pPr>
              <w:tabs>
                <w:tab w:val="left" w:pos="426"/>
              </w:tabs>
              <w:spacing w:line="276" w:lineRule="auto"/>
              <w:jc w:val="both"/>
              <w:rPr>
                <w:rFonts w:ascii="Arial" w:eastAsiaTheme="minorHAnsi" w:hAnsi="Arial" w:cs="Arial"/>
                <w:bCs/>
                <w:lang w:eastAsia="en-US"/>
              </w:rPr>
            </w:pPr>
            <w:r w:rsidRPr="00C03F2A">
              <w:rPr>
                <w:rFonts w:ascii="Arial" w:hAnsi="Arial" w:cs="Arial"/>
              </w:rPr>
              <w:t>Comunidad de Madrid</w:t>
            </w:r>
          </w:p>
        </w:tc>
        <w:tc>
          <w:tcPr>
            <w:tcW w:w="2479" w:type="dxa"/>
            <w:noWrap/>
            <w:hideMark/>
          </w:tcPr>
          <w:p w14:paraId="651F75B3" w14:textId="77B83F5B"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Madrid</w:t>
            </w:r>
          </w:p>
        </w:tc>
        <w:tc>
          <w:tcPr>
            <w:tcW w:w="3101" w:type="dxa"/>
            <w:hideMark/>
          </w:tcPr>
          <w:p w14:paraId="02F343F9" w14:textId="3CAE1BDF"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La Ca</w:t>
            </w:r>
            <w:r>
              <w:rPr>
                <w:rFonts w:ascii="Arial" w:eastAsiaTheme="minorHAnsi" w:hAnsi="Arial" w:cs="Arial"/>
                <w:bCs/>
                <w:lang w:eastAsia="en-US"/>
              </w:rPr>
              <w:t>sa Palacio de los Vargas y los r</w:t>
            </w:r>
            <w:r w:rsidRPr="0087786B">
              <w:rPr>
                <w:rFonts w:ascii="Arial" w:eastAsiaTheme="minorHAnsi" w:hAnsi="Arial" w:cs="Arial"/>
                <w:bCs/>
                <w:lang w:eastAsia="en-US"/>
              </w:rPr>
              <w:t>eservados en la Casa de Campo.</w:t>
            </w:r>
          </w:p>
        </w:tc>
        <w:tc>
          <w:tcPr>
            <w:tcW w:w="1553" w:type="dxa"/>
            <w:noWrap/>
            <w:hideMark/>
          </w:tcPr>
          <w:p w14:paraId="4983692B"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10.000.000,00 €</w:t>
            </w:r>
          </w:p>
        </w:tc>
      </w:tr>
      <w:tr w:rsidR="00416682" w:rsidRPr="0087786B" w14:paraId="11FD1438" w14:textId="77777777" w:rsidTr="00416682">
        <w:trPr>
          <w:trHeight w:val="525"/>
        </w:trPr>
        <w:tc>
          <w:tcPr>
            <w:tcW w:w="1361" w:type="dxa"/>
            <w:noWrap/>
            <w:hideMark/>
          </w:tcPr>
          <w:p w14:paraId="63AD13C1" w14:textId="03FC1E02" w:rsidR="00416682" w:rsidRPr="0087786B" w:rsidRDefault="00416682" w:rsidP="00416682">
            <w:pPr>
              <w:tabs>
                <w:tab w:val="left" w:pos="426"/>
              </w:tabs>
              <w:spacing w:line="276" w:lineRule="auto"/>
              <w:jc w:val="both"/>
              <w:rPr>
                <w:rFonts w:ascii="Arial" w:eastAsiaTheme="minorHAnsi" w:hAnsi="Arial" w:cs="Arial"/>
                <w:bCs/>
                <w:lang w:eastAsia="en-US"/>
              </w:rPr>
            </w:pPr>
            <w:r w:rsidRPr="00C03F2A">
              <w:rPr>
                <w:rFonts w:ascii="Arial" w:hAnsi="Arial" w:cs="Arial"/>
              </w:rPr>
              <w:t>Comunidad de Madrid</w:t>
            </w:r>
          </w:p>
        </w:tc>
        <w:tc>
          <w:tcPr>
            <w:tcW w:w="2479" w:type="dxa"/>
            <w:noWrap/>
            <w:hideMark/>
          </w:tcPr>
          <w:p w14:paraId="01DBB918" w14:textId="041D15B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Ayuntamiento de nuevo </w:t>
            </w:r>
            <w:r>
              <w:rPr>
                <w:rFonts w:ascii="Arial" w:eastAsiaTheme="minorHAnsi" w:hAnsi="Arial" w:cs="Arial"/>
                <w:bCs/>
                <w:lang w:eastAsia="en-US"/>
              </w:rPr>
              <w:t>Baztá</w:t>
            </w:r>
            <w:r w:rsidRPr="0087786B">
              <w:rPr>
                <w:rFonts w:ascii="Arial" w:eastAsiaTheme="minorHAnsi" w:hAnsi="Arial" w:cs="Arial"/>
                <w:bCs/>
                <w:lang w:eastAsia="en-US"/>
              </w:rPr>
              <w:t>n</w:t>
            </w:r>
          </w:p>
        </w:tc>
        <w:tc>
          <w:tcPr>
            <w:tcW w:w="3101" w:type="dxa"/>
            <w:hideMark/>
          </w:tcPr>
          <w:p w14:paraId="6558895C" w14:textId="307CFB4D"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Nuevo Baztá</w:t>
            </w:r>
            <w:r w:rsidRPr="0087786B">
              <w:rPr>
                <w:rFonts w:ascii="Arial" w:eastAsiaTheme="minorHAnsi" w:hAnsi="Arial" w:cs="Arial"/>
                <w:bCs/>
                <w:lang w:eastAsia="en-US"/>
              </w:rPr>
              <w:t>n, la Villa bonita de Madrid.</w:t>
            </w:r>
          </w:p>
        </w:tc>
        <w:tc>
          <w:tcPr>
            <w:tcW w:w="1553" w:type="dxa"/>
            <w:noWrap/>
            <w:hideMark/>
          </w:tcPr>
          <w:p w14:paraId="109A7EBF"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416682" w:rsidRPr="0087786B" w14:paraId="5D65D138" w14:textId="77777777" w:rsidTr="00416682">
        <w:trPr>
          <w:trHeight w:val="525"/>
        </w:trPr>
        <w:tc>
          <w:tcPr>
            <w:tcW w:w="1361" w:type="dxa"/>
            <w:noWrap/>
            <w:hideMark/>
          </w:tcPr>
          <w:p w14:paraId="34FD6FFA" w14:textId="003DBDB5" w:rsidR="00416682" w:rsidRPr="0087786B" w:rsidRDefault="00416682" w:rsidP="00416682">
            <w:pPr>
              <w:tabs>
                <w:tab w:val="left" w:pos="426"/>
              </w:tabs>
              <w:spacing w:line="276" w:lineRule="auto"/>
              <w:jc w:val="both"/>
              <w:rPr>
                <w:rFonts w:ascii="Arial" w:eastAsiaTheme="minorHAnsi" w:hAnsi="Arial" w:cs="Arial"/>
                <w:bCs/>
                <w:lang w:eastAsia="en-US"/>
              </w:rPr>
            </w:pPr>
            <w:r w:rsidRPr="00C03F2A">
              <w:rPr>
                <w:rFonts w:ascii="Arial" w:hAnsi="Arial" w:cs="Arial"/>
              </w:rPr>
              <w:t>Comunidad de Madrid</w:t>
            </w:r>
          </w:p>
        </w:tc>
        <w:tc>
          <w:tcPr>
            <w:tcW w:w="2479" w:type="dxa"/>
            <w:noWrap/>
            <w:hideMark/>
          </w:tcPr>
          <w:p w14:paraId="79BD962B" w14:textId="44E034B1"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P</w:t>
            </w:r>
            <w:r w:rsidRPr="0087786B">
              <w:rPr>
                <w:rFonts w:ascii="Arial" w:eastAsiaTheme="minorHAnsi" w:hAnsi="Arial" w:cs="Arial"/>
                <w:bCs/>
                <w:lang w:eastAsia="en-US"/>
              </w:rPr>
              <w:t>atones</w:t>
            </w:r>
          </w:p>
        </w:tc>
        <w:tc>
          <w:tcPr>
            <w:tcW w:w="3101" w:type="dxa"/>
            <w:hideMark/>
          </w:tcPr>
          <w:p w14:paraId="7936F358" w14:textId="1CDD11F1"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w:t>
            </w:r>
            <w:r w:rsidRPr="0087786B">
              <w:rPr>
                <w:rFonts w:ascii="Arial" w:eastAsiaTheme="minorHAnsi" w:hAnsi="Arial" w:cs="Arial"/>
                <w:bCs/>
                <w:lang w:eastAsia="en-US"/>
              </w:rPr>
              <w:t>atones. Plan de Sostenibilidad Turistica</w:t>
            </w:r>
          </w:p>
        </w:tc>
        <w:tc>
          <w:tcPr>
            <w:tcW w:w="1553" w:type="dxa"/>
            <w:noWrap/>
            <w:hideMark/>
          </w:tcPr>
          <w:p w14:paraId="4C225D65"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1.995.500,00 €</w:t>
            </w:r>
          </w:p>
        </w:tc>
      </w:tr>
      <w:tr w:rsidR="00416682" w:rsidRPr="0087786B" w14:paraId="7A647950" w14:textId="77777777" w:rsidTr="00416682">
        <w:trPr>
          <w:trHeight w:val="780"/>
        </w:trPr>
        <w:tc>
          <w:tcPr>
            <w:tcW w:w="1361" w:type="dxa"/>
            <w:noWrap/>
            <w:hideMark/>
          </w:tcPr>
          <w:p w14:paraId="26182FE8" w14:textId="2940BC5A" w:rsidR="00416682" w:rsidRPr="0087786B" w:rsidRDefault="00416682" w:rsidP="00416682">
            <w:pPr>
              <w:tabs>
                <w:tab w:val="left" w:pos="426"/>
              </w:tabs>
              <w:spacing w:line="276" w:lineRule="auto"/>
              <w:jc w:val="both"/>
              <w:rPr>
                <w:rFonts w:ascii="Arial" w:eastAsiaTheme="minorHAnsi" w:hAnsi="Arial" w:cs="Arial"/>
                <w:bCs/>
                <w:lang w:eastAsia="en-US"/>
              </w:rPr>
            </w:pPr>
            <w:r w:rsidRPr="00C03F2A">
              <w:rPr>
                <w:rFonts w:ascii="Arial" w:hAnsi="Arial" w:cs="Arial"/>
              </w:rPr>
              <w:t>Comunidad de Madrid</w:t>
            </w:r>
          </w:p>
        </w:tc>
        <w:tc>
          <w:tcPr>
            <w:tcW w:w="2479" w:type="dxa"/>
            <w:noWrap/>
            <w:hideMark/>
          </w:tcPr>
          <w:p w14:paraId="08F2939A" w14:textId="7777777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San Lorenzo de El Escorial</w:t>
            </w:r>
          </w:p>
        </w:tc>
        <w:tc>
          <w:tcPr>
            <w:tcW w:w="3101" w:type="dxa"/>
            <w:hideMark/>
          </w:tcPr>
          <w:p w14:paraId="5D1536E3" w14:textId="5033A54D"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Plan de Sostenibilidad Turistica de San Lorenzo de El Escorial 2023 </w:t>
            </w:r>
          </w:p>
        </w:tc>
        <w:tc>
          <w:tcPr>
            <w:tcW w:w="1553" w:type="dxa"/>
            <w:noWrap/>
            <w:hideMark/>
          </w:tcPr>
          <w:p w14:paraId="11E7884C"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2.100.000,00 €</w:t>
            </w:r>
          </w:p>
        </w:tc>
      </w:tr>
      <w:tr w:rsidR="00416682" w:rsidRPr="0087786B" w14:paraId="1B7E5EAC" w14:textId="77777777" w:rsidTr="00416682">
        <w:trPr>
          <w:trHeight w:val="538"/>
        </w:trPr>
        <w:tc>
          <w:tcPr>
            <w:tcW w:w="1361" w:type="dxa"/>
            <w:noWrap/>
            <w:hideMark/>
          </w:tcPr>
          <w:p w14:paraId="7B8EEA9E" w14:textId="2B8793AB"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34CBB9A4" w14:textId="066A781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Benidorm</w:t>
            </w:r>
          </w:p>
        </w:tc>
        <w:tc>
          <w:tcPr>
            <w:tcW w:w="3101" w:type="dxa"/>
            <w:hideMark/>
          </w:tcPr>
          <w:p w14:paraId="069DA75E" w14:textId="362D702F"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sostenibilidad Turistica verde Benidorm 2024 2026</w:t>
            </w:r>
          </w:p>
        </w:tc>
        <w:tc>
          <w:tcPr>
            <w:tcW w:w="1553" w:type="dxa"/>
            <w:noWrap/>
            <w:hideMark/>
          </w:tcPr>
          <w:p w14:paraId="692A6C01"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5.500.000,00 €</w:t>
            </w:r>
          </w:p>
        </w:tc>
      </w:tr>
      <w:tr w:rsidR="00416682" w:rsidRPr="0087786B" w14:paraId="3C881A2F" w14:textId="77777777" w:rsidTr="00416682">
        <w:trPr>
          <w:trHeight w:val="525"/>
        </w:trPr>
        <w:tc>
          <w:tcPr>
            <w:tcW w:w="1361" w:type="dxa"/>
            <w:noWrap/>
            <w:hideMark/>
          </w:tcPr>
          <w:p w14:paraId="5A02AD12" w14:textId="2065CBAE"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33B67B68" w14:textId="7777777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Calp</w:t>
            </w:r>
          </w:p>
        </w:tc>
        <w:tc>
          <w:tcPr>
            <w:tcW w:w="3101" w:type="dxa"/>
            <w:hideMark/>
          </w:tcPr>
          <w:p w14:paraId="7AA925E3" w14:textId="1B5F0309"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Calp 2026</w:t>
            </w:r>
          </w:p>
        </w:tc>
        <w:tc>
          <w:tcPr>
            <w:tcW w:w="1553" w:type="dxa"/>
            <w:noWrap/>
            <w:hideMark/>
          </w:tcPr>
          <w:p w14:paraId="461F5EE4"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1A1989E6" w14:textId="77777777" w:rsidTr="00416682">
        <w:trPr>
          <w:trHeight w:val="525"/>
        </w:trPr>
        <w:tc>
          <w:tcPr>
            <w:tcW w:w="1361" w:type="dxa"/>
            <w:noWrap/>
            <w:hideMark/>
          </w:tcPr>
          <w:p w14:paraId="4C61503F" w14:textId="468BF5AD"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4C504C30" w14:textId="3DFCF891"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l'Alfàs del P</w:t>
            </w:r>
            <w:r w:rsidRPr="0087786B">
              <w:rPr>
                <w:rFonts w:ascii="Arial" w:eastAsiaTheme="minorHAnsi" w:hAnsi="Arial" w:cs="Arial"/>
                <w:bCs/>
                <w:lang w:eastAsia="en-US"/>
              </w:rPr>
              <w:t>i</w:t>
            </w:r>
          </w:p>
        </w:tc>
        <w:tc>
          <w:tcPr>
            <w:tcW w:w="3101" w:type="dxa"/>
            <w:hideMark/>
          </w:tcPr>
          <w:p w14:paraId="3F87BC55" w14:textId="38B49C14"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L'Alfàs del Pi destino turístico: Reforzando la sostenibilidad</w:t>
            </w:r>
          </w:p>
        </w:tc>
        <w:tc>
          <w:tcPr>
            <w:tcW w:w="1553" w:type="dxa"/>
            <w:noWrap/>
            <w:hideMark/>
          </w:tcPr>
          <w:p w14:paraId="5550DC20"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53649EC5" w14:textId="77777777" w:rsidTr="00416682">
        <w:trPr>
          <w:trHeight w:val="780"/>
        </w:trPr>
        <w:tc>
          <w:tcPr>
            <w:tcW w:w="1361" w:type="dxa"/>
            <w:noWrap/>
            <w:hideMark/>
          </w:tcPr>
          <w:p w14:paraId="60CC00F6" w14:textId="3DD56C0E"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0D4DD75B" w14:textId="13A028AF"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w:t>
            </w:r>
            <w:r>
              <w:rPr>
                <w:rFonts w:ascii="Arial" w:eastAsiaTheme="minorHAnsi" w:hAnsi="Arial" w:cs="Arial"/>
                <w:bCs/>
                <w:lang w:eastAsia="en-US"/>
              </w:rPr>
              <w:t>miento de N</w:t>
            </w:r>
            <w:r w:rsidRPr="0087786B">
              <w:rPr>
                <w:rFonts w:ascii="Arial" w:eastAsiaTheme="minorHAnsi" w:hAnsi="Arial" w:cs="Arial"/>
                <w:bCs/>
                <w:lang w:eastAsia="en-US"/>
              </w:rPr>
              <w:t>ovelda</w:t>
            </w:r>
          </w:p>
        </w:tc>
        <w:tc>
          <w:tcPr>
            <w:tcW w:w="3101" w:type="dxa"/>
            <w:hideMark/>
          </w:tcPr>
          <w:p w14:paraId="7E4B6671" w14:textId="6311316A"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Novelda, destino modernista y natural; transformación hacia la sostenibilidad.</w:t>
            </w:r>
          </w:p>
        </w:tc>
        <w:tc>
          <w:tcPr>
            <w:tcW w:w="1553" w:type="dxa"/>
            <w:noWrap/>
            <w:hideMark/>
          </w:tcPr>
          <w:p w14:paraId="2DA5F995"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1.000.861,00 €</w:t>
            </w:r>
          </w:p>
        </w:tc>
      </w:tr>
      <w:tr w:rsidR="00416682" w:rsidRPr="0087786B" w14:paraId="5F6651D6" w14:textId="77777777" w:rsidTr="00416682">
        <w:trPr>
          <w:trHeight w:val="780"/>
        </w:trPr>
        <w:tc>
          <w:tcPr>
            <w:tcW w:w="1361" w:type="dxa"/>
            <w:noWrap/>
            <w:hideMark/>
          </w:tcPr>
          <w:p w14:paraId="562BDD02" w14:textId="5A36D2FE"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6BCA6FB7" w14:textId="08B494DF" w:rsidR="00416682" w:rsidRPr="0087786B" w:rsidRDefault="00416682" w:rsidP="00416682">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Ayuntamiento de O</w:t>
            </w:r>
            <w:r w:rsidRPr="0087786B">
              <w:rPr>
                <w:rFonts w:ascii="Arial" w:eastAsiaTheme="minorHAnsi" w:hAnsi="Arial" w:cs="Arial"/>
                <w:bCs/>
                <w:lang w:eastAsia="en-US"/>
              </w:rPr>
              <w:t>rihuela</w:t>
            </w:r>
          </w:p>
        </w:tc>
        <w:tc>
          <w:tcPr>
            <w:tcW w:w="3101" w:type="dxa"/>
            <w:hideMark/>
          </w:tcPr>
          <w:p w14:paraId="502C9F17" w14:textId="5606BDF9" w:rsidR="00416682" w:rsidRPr="0087786B" w:rsidRDefault="00416682" w:rsidP="00416682">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Orihuela, destino turístico inteligente sostenible y diversificado.</w:t>
            </w:r>
          </w:p>
        </w:tc>
        <w:tc>
          <w:tcPr>
            <w:tcW w:w="1553" w:type="dxa"/>
            <w:noWrap/>
            <w:hideMark/>
          </w:tcPr>
          <w:p w14:paraId="5AE00680"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0FA01237" w14:textId="77777777" w:rsidTr="00416682">
        <w:trPr>
          <w:trHeight w:val="780"/>
        </w:trPr>
        <w:tc>
          <w:tcPr>
            <w:tcW w:w="1361" w:type="dxa"/>
            <w:noWrap/>
            <w:hideMark/>
          </w:tcPr>
          <w:p w14:paraId="735E69D0" w14:textId="0B188367"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080E400F" w14:textId="7777777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Teulada</w:t>
            </w:r>
          </w:p>
        </w:tc>
        <w:tc>
          <w:tcPr>
            <w:tcW w:w="3101" w:type="dxa"/>
            <w:hideMark/>
          </w:tcPr>
          <w:p w14:paraId="25BC3DB7" w14:textId="7777777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PSTD Teulada Moraira, destino sostenible, diversificado e inteligente.</w:t>
            </w:r>
          </w:p>
        </w:tc>
        <w:tc>
          <w:tcPr>
            <w:tcW w:w="1553" w:type="dxa"/>
            <w:noWrap/>
            <w:hideMark/>
          </w:tcPr>
          <w:p w14:paraId="41986D26"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2A6E8284" w14:textId="77777777" w:rsidTr="00416682">
        <w:trPr>
          <w:trHeight w:val="326"/>
        </w:trPr>
        <w:tc>
          <w:tcPr>
            <w:tcW w:w="1361" w:type="dxa"/>
            <w:noWrap/>
            <w:hideMark/>
          </w:tcPr>
          <w:p w14:paraId="0AE77F6E" w14:textId="2FE49B49"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6E106252" w14:textId="1899981C"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Elda</w:t>
            </w:r>
          </w:p>
        </w:tc>
        <w:tc>
          <w:tcPr>
            <w:tcW w:w="3101" w:type="dxa"/>
            <w:hideMark/>
          </w:tcPr>
          <w:p w14:paraId="0598C8F2" w14:textId="7777777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Elda Plan 2030 - Turismo</w:t>
            </w:r>
          </w:p>
        </w:tc>
        <w:tc>
          <w:tcPr>
            <w:tcW w:w="1553" w:type="dxa"/>
            <w:noWrap/>
            <w:hideMark/>
          </w:tcPr>
          <w:p w14:paraId="5161A7C8"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47E4EA4F" w14:textId="77777777" w:rsidTr="00416682">
        <w:trPr>
          <w:trHeight w:val="525"/>
        </w:trPr>
        <w:tc>
          <w:tcPr>
            <w:tcW w:w="1361" w:type="dxa"/>
            <w:noWrap/>
            <w:hideMark/>
          </w:tcPr>
          <w:p w14:paraId="6C91DA24" w14:textId="7C5501E1"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326A8F44" w14:textId="0C59E2F0" w:rsidR="00416682" w:rsidRPr="0087786B" w:rsidRDefault="00416682" w:rsidP="00416682">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Asocia</w:t>
            </w:r>
            <w:r>
              <w:rPr>
                <w:rFonts w:ascii="Arial" w:eastAsiaTheme="minorHAnsi" w:hAnsi="Arial" w:cs="Arial"/>
                <w:bCs/>
                <w:lang w:eastAsia="en-US"/>
              </w:rPr>
              <w:t>cion Intermunicipal Municipios d</w:t>
            </w:r>
            <w:r w:rsidRPr="0087786B">
              <w:rPr>
                <w:rFonts w:ascii="Arial" w:eastAsiaTheme="minorHAnsi" w:hAnsi="Arial" w:cs="Arial"/>
                <w:bCs/>
                <w:lang w:eastAsia="en-US"/>
              </w:rPr>
              <w:t>e Penyagolosa</w:t>
            </w:r>
          </w:p>
        </w:tc>
        <w:tc>
          <w:tcPr>
            <w:tcW w:w="3101" w:type="dxa"/>
            <w:hideMark/>
          </w:tcPr>
          <w:p w14:paraId="3D06E4AB" w14:textId="0484F238" w:rsidR="00416682" w:rsidRPr="0087786B" w:rsidRDefault="00416682" w:rsidP="00416682">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El Penyagolosa, 100% agro turístico y natural</w:t>
            </w:r>
          </w:p>
        </w:tc>
        <w:tc>
          <w:tcPr>
            <w:tcW w:w="1553" w:type="dxa"/>
            <w:noWrap/>
            <w:hideMark/>
          </w:tcPr>
          <w:p w14:paraId="4C7F3A1B"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1.000.861,00 €</w:t>
            </w:r>
          </w:p>
        </w:tc>
      </w:tr>
      <w:tr w:rsidR="00416682" w:rsidRPr="0087786B" w14:paraId="33EC9C57" w14:textId="77777777" w:rsidTr="00416682">
        <w:trPr>
          <w:trHeight w:val="1035"/>
        </w:trPr>
        <w:tc>
          <w:tcPr>
            <w:tcW w:w="1361" w:type="dxa"/>
            <w:noWrap/>
            <w:hideMark/>
          </w:tcPr>
          <w:p w14:paraId="33FDC3FF" w14:textId="0BCDDC48"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2954EBAC" w14:textId="77777777" w:rsidR="00416682" w:rsidRPr="0087786B" w:rsidRDefault="00416682" w:rsidP="00416682">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Ayuntamiento de Benicàssim</w:t>
            </w:r>
          </w:p>
        </w:tc>
        <w:tc>
          <w:tcPr>
            <w:tcW w:w="3101" w:type="dxa"/>
            <w:hideMark/>
          </w:tcPr>
          <w:p w14:paraId="39E1FDC0" w14:textId="0772E257" w:rsidR="00416682" w:rsidRPr="0087786B" w:rsidRDefault="00416682" w:rsidP="00416682">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Benicassim un destino sostenible e inteligente con eventos en cualquier época del año</w:t>
            </w:r>
          </w:p>
        </w:tc>
        <w:tc>
          <w:tcPr>
            <w:tcW w:w="1553" w:type="dxa"/>
            <w:noWrap/>
            <w:hideMark/>
          </w:tcPr>
          <w:p w14:paraId="2DD0878B"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237B8CD5" w14:textId="77777777" w:rsidTr="00416682">
        <w:trPr>
          <w:trHeight w:val="473"/>
        </w:trPr>
        <w:tc>
          <w:tcPr>
            <w:tcW w:w="1361" w:type="dxa"/>
            <w:noWrap/>
            <w:hideMark/>
          </w:tcPr>
          <w:p w14:paraId="17367BF7" w14:textId="53911A4A"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203E7BB7" w14:textId="4D9F4AB5"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la Vall d´Uixó</w:t>
            </w:r>
          </w:p>
        </w:tc>
        <w:tc>
          <w:tcPr>
            <w:tcW w:w="3101" w:type="dxa"/>
            <w:hideMark/>
          </w:tcPr>
          <w:p w14:paraId="181CCBD0" w14:textId="0DE8AB87"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 La Vall D´Uixó</w:t>
            </w:r>
            <w:r w:rsidRPr="0087786B">
              <w:rPr>
                <w:rFonts w:ascii="Arial" w:eastAsiaTheme="minorHAnsi" w:hAnsi="Arial" w:cs="Arial"/>
                <w:bCs/>
                <w:lang w:eastAsia="en-US"/>
              </w:rPr>
              <w:t xml:space="preserve">. </w:t>
            </w:r>
          </w:p>
        </w:tc>
        <w:tc>
          <w:tcPr>
            <w:tcW w:w="1553" w:type="dxa"/>
            <w:noWrap/>
            <w:hideMark/>
          </w:tcPr>
          <w:p w14:paraId="23C3A41C"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1F1863BC" w14:textId="77777777" w:rsidTr="00416682">
        <w:trPr>
          <w:trHeight w:val="300"/>
        </w:trPr>
        <w:tc>
          <w:tcPr>
            <w:tcW w:w="1361" w:type="dxa"/>
            <w:noWrap/>
            <w:hideMark/>
          </w:tcPr>
          <w:p w14:paraId="55D685DE" w14:textId="255A90B5"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21DA8239" w14:textId="5A732BEE" w:rsidR="00416682" w:rsidRPr="0087786B" w:rsidRDefault="00416682" w:rsidP="00416682">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Ayuntamiento de montanejos</w:t>
            </w:r>
          </w:p>
        </w:tc>
        <w:tc>
          <w:tcPr>
            <w:tcW w:w="3101" w:type="dxa"/>
            <w:hideMark/>
          </w:tcPr>
          <w:p w14:paraId="56C27FC0" w14:textId="7777777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PSTD Montanejos: Villa Termal</w:t>
            </w:r>
          </w:p>
        </w:tc>
        <w:tc>
          <w:tcPr>
            <w:tcW w:w="1553" w:type="dxa"/>
            <w:noWrap/>
            <w:hideMark/>
          </w:tcPr>
          <w:p w14:paraId="7EABC7AE"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1.000.862,00 €</w:t>
            </w:r>
          </w:p>
        </w:tc>
      </w:tr>
      <w:tr w:rsidR="00416682" w:rsidRPr="0087786B" w14:paraId="43EB723C" w14:textId="77777777" w:rsidTr="00416682">
        <w:trPr>
          <w:trHeight w:val="780"/>
        </w:trPr>
        <w:tc>
          <w:tcPr>
            <w:tcW w:w="1361" w:type="dxa"/>
            <w:noWrap/>
            <w:hideMark/>
          </w:tcPr>
          <w:p w14:paraId="05B6F127" w14:textId="039D9C5A"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564E0E14" w14:textId="074D2B63"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V</w:t>
            </w:r>
            <w:r w:rsidRPr="0087786B">
              <w:rPr>
                <w:rFonts w:ascii="Arial" w:eastAsiaTheme="minorHAnsi" w:hAnsi="Arial" w:cs="Arial"/>
                <w:bCs/>
                <w:lang w:eastAsia="en-US"/>
              </w:rPr>
              <w:t>inaròs</w:t>
            </w:r>
          </w:p>
        </w:tc>
        <w:tc>
          <w:tcPr>
            <w:tcW w:w="3101" w:type="dxa"/>
            <w:hideMark/>
          </w:tcPr>
          <w:p w14:paraId="0B7EF5DA" w14:textId="26740EC0" w:rsidR="00416682" w:rsidRPr="0087786B" w:rsidRDefault="00416682" w:rsidP="00416682">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Vinaròs al ritmo del Mediterráneo, al ritmo de la sostenibilidad.</w:t>
            </w:r>
          </w:p>
        </w:tc>
        <w:tc>
          <w:tcPr>
            <w:tcW w:w="1553" w:type="dxa"/>
            <w:noWrap/>
            <w:hideMark/>
          </w:tcPr>
          <w:p w14:paraId="20AA64D8"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3B25EAB3" w14:textId="77777777" w:rsidTr="00416682">
        <w:trPr>
          <w:trHeight w:val="1035"/>
        </w:trPr>
        <w:tc>
          <w:tcPr>
            <w:tcW w:w="1361" w:type="dxa"/>
            <w:noWrap/>
            <w:hideMark/>
          </w:tcPr>
          <w:p w14:paraId="3A8A3161" w14:textId="6BE079E5"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629517F3" w14:textId="518DF18E"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Mancomunidad Espadán M</w:t>
            </w:r>
            <w:r w:rsidRPr="0087786B">
              <w:rPr>
                <w:rFonts w:ascii="Arial" w:eastAsiaTheme="minorHAnsi" w:hAnsi="Arial" w:cs="Arial"/>
                <w:bCs/>
                <w:lang w:eastAsia="en-US"/>
              </w:rPr>
              <w:t>ijares</w:t>
            </w:r>
          </w:p>
        </w:tc>
        <w:tc>
          <w:tcPr>
            <w:tcW w:w="3101" w:type="dxa"/>
            <w:hideMark/>
          </w:tcPr>
          <w:p w14:paraId="0CC4AA95" w14:textId="066A2F54" w:rsidR="00416682" w:rsidRPr="0087786B" w:rsidRDefault="00416682" w:rsidP="00416682">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Espadá</w:t>
            </w:r>
            <w:r w:rsidRPr="0087786B">
              <w:rPr>
                <w:rFonts w:ascii="Arial" w:eastAsiaTheme="minorHAnsi" w:hAnsi="Arial" w:cs="Arial"/>
                <w:bCs/>
                <w:lang w:eastAsia="en-US"/>
              </w:rPr>
              <w:t>n-Mijares Sostenible: Hacia un turismo responsable e inteligente en un entorno natural único</w:t>
            </w:r>
          </w:p>
        </w:tc>
        <w:tc>
          <w:tcPr>
            <w:tcW w:w="1553" w:type="dxa"/>
            <w:noWrap/>
            <w:hideMark/>
          </w:tcPr>
          <w:p w14:paraId="6FD0DFC8"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1.000.862,00 €</w:t>
            </w:r>
          </w:p>
        </w:tc>
      </w:tr>
      <w:tr w:rsidR="00416682" w:rsidRPr="0087786B" w14:paraId="59CB84D7" w14:textId="77777777" w:rsidTr="00416682">
        <w:trPr>
          <w:trHeight w:val="828"/>
        </w:trPr>
        <w:tc>
          <w:tcPr>
            <w:tcW w:w="1361" w:type="dxa"/>
            <w:noWrap/>
            <w:hideMark/>
          </w:tcPr>
          <w:p w14:paraId="38A9B65C" w14:textId="30DE70CB"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61C5BF63" w14:textId="77777777" w:rsidR="00416682" w:rsidRPr="0087786B" w:rsidRDefault="00416682" w:rsidP="00416682">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Mancomunitat Alt Maestrat</w:t>
            </w:r>
          </w:p>
        </w:tc>
        <w:tc>
          <w:tcPr>
            <w:tcW w:w="3101" w:type="dxa"/>
            <w:hideMark/>
          </w:tcPr>
          <w:p w14:paraId="7A4C1C3E" w14:textId="500DF40C"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Pr="0087786B">
              <w:rPr>
                <w:rFonts w:ascii="Arial" w:eastAsiaTheme="minorHAnsi" w:hAnsi="Arial" w:cs="Arial"/>
                <w:bCs/>
                <w:lang w:eastAsia="en-US"/>
              </w:rPr>
              <w:t xml:space="preserve"> Alt Maestrat, ruta verde caminos cataros un itinerario cultural europeo</w:t>
            </w:r>
          </w:p>
        </w:tc>
        <w:tc>
          <w:tcPr>
            <w:tcW w:w="1553" w:type="dxa"/>
            <w:noWrap/>
            <w:hideMark/>
          </w:tcPr>
          <w:p w14:paraId="54E46A36"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1.000.862,00 €</w:t>
            </w:r>
          </w:p>
        </w:tc>
      </w:tr>
      <w:tr w:rsidR="00416682" w:rsidRPr="0087786B" w14:paraId="20F8D082" w14:textId="77777777" w:rsidTr="00416682">
        <w:trPr>
          <w:trHeight w:val="259"/>
        </w:trPr>
        <w:tc>
          <w:tcPr>
            <w:tcW w:w="1361" w:type="dxa"/>
            <w:noWrap/>
            <w:hideMark/>
          </w:tcPr>
          <w:p w14:paraId="6FB4032B" w14:textId="0ADD0AC9"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67EA8B5E" w14:textId="220B50CF"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Ajuntament de G</w:t>
            </w:r>
            <w:r w:rsidRPr="0087786B">
              <w:rPr>
                <w:rFonts w:ascii="Arial" w:eastAsiaTheme="minorHAnsi" w:hAnsi="Arial" w:cs="Arial"/>
                <w:bCs/>
                <w:lang w:eastAsia="en-US"/>
              </w:rPr>
              <w:t>andía</w:t>
            </w:r>
          </w:p>
        </w:tc>
        <w:tc>
          <w:tcPr>
            <w:tcW w:w="3101" w:type="dxa"/>
            <w:hideMark/>
          </w:tcPr>
          <w:p w14:paraId="2BF19401" w14:textId="76454206"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Gandía turismo azul</w:t>
            </w:r>
          </w:p>
        </w:tc>
        <w:tc>
          <w:tcPr>
            <w:tcW w:w="1553" w:type="dxa"/>
            <w:noWrap/>
            <w:hideMark/>
          </w:tcPr>
          <w:p w14:paraId="6DC7B1B1"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585EE28A" w14:textId="77777777" w:rsidTr="00416682">
        <w:trPr>
          <w:trHeight w:val="577"/>
        </w:trPr>
        <w:tc>
          <w:tcPr>
            <w:tcW w:w="1361" w:type="dxa"/>
            <w:noWrap/>
            <w:hideMark/>
          </w:tcPr>
          <w:p w14:paraId="0463D2C9" w14:textId="006A791A"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049A2E68" w14:textId="08A7EB72"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Ajuntament del Puig de Santa M</w:t>
            </w:r>
            <w:r w:rsidRPr="0087786B">
              <w:rPr>
                <w:rFonts w:ascii="Arial" w:eastAsiaTheme="minorHAnsi" w:hAnsi="Arial" w:cs="Arial"/>
                <w:bCs/>
                <w:lang w:eastAsia="en-US"/>
              </w:rPr>
              <w:t>aria</w:t>
            </w:r>
          </w:p>
        </w:tc>
        <w:tc>
          <w:tcPr>
            <w:tcW w:w="3101" w:type="dxa"/>
            <w:hideMark/>
          </w:tcPr>
          <w:p w14:paraId="29F306E7" w14:textId="78073A28" w:rsidR="00416682" w:rsidRPr="0087786B" w:rsidRDefault="00416682" w:rsidP="00416682">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El</w:t>
            </w:r>
            <w:r w:rsidRPr="0087786B">
              <w:rPr>
                <w:rFonts w:ascii="Arial" w:eastAsiaTheme="minorHAnsi" w:hAnsi="Arial" w:cs="Arial"/>
                <w:bCs/>
                <w:lang w:eastAsia="en-US"/>
              </w:rPr>
              <w:t xml:space="preserve"> P</w:t>
            </w:r>
            <w:r>
              <w:rPr>
                <w:rFonts w:ascii="Arial" w:eastAsiaTheme="minorHAnsi" w:hAnsi="Arial" w:cs="Arial"/>
                <w:bCs/>
                <w:lang w:eastAsia="en-US"/>
              </w:rPr>
              <w:t>uig de</w:t>
            </w:r>
            <w:r w:rsidRPr="0087786B">
              <w:rPr>
                <w:rFonts w:ascii="Arial" w:eastAsiaTheme="minorHAnsi" w:hAnsi="Arial" w:cs="Arial"/>
                <w:bCs/>
                <w:lang w:eastAsia="en-US"/>
              </w:rPr>
              <w:t xml:space="preserve"> S</w:t>
            </w:r>
            <w:r>
              <w:rPr>
                <w:rFonts w:ascii="Arial" w:eastAsiaTheme="minorHAnsi" w:hAnsi="Arial" w:cs="Arial"/>
                <w:bCs/>
                <w:lang w:eastAsia="en-US"/>
              </w:rPr>
              <w:t>anta</w:t>
            </w:r>
            <w:r w:rsidRPr="0087786B">
              <w:rPr>
                <w:rFonts w:ascii="Arial" w:eastAsiaTheme="minorHAnsi" w:hAnsi="Arial" w:cs="Arial"/>
                <w:bCs/>
                <w:lang w:eastAsia="en-US"/>
              </w:rPr>
              <w:t xml:space="preserve"> M</w:t>
            </w:r>
            <w:r>
              <w:rPr>
                <w:rFonts w:ascii="Arial" w:eastAsiaTheme="minorHAnsi" w:hAnsi="Arial" w:cs="Arial"/>
                <w:bCs/>
                <w:lang w:eastAsia="en-US"/>
              </w:rPr>
              <w:t>aría</w:t>
            </w:r>
            <w:r w:rsidRPr="0087786B">
              <w:rPr>
                <w:rFonts w:ascii="Arial" w:eastAsiaTheme="minorHAnsi" w:hAnsi="Arial" w:cs="Arial"/>
                <w:bCs/>
                <w:lang w:eastAsia="en-US"/>
              </w:rPr>
              <w:t xml:space="preserve"> T</w:t>
            </w:r>
            <w:r>
              <w:rPr>
                <w:rFonts w:ascii="Arial" w:eastAsiaTheme="minorHAnsi" w:hAnsi="Arial" w:cs="Arial"/>
                <w:bCs/>
                <w:lang w:eastAsia="en-US"/>
              </w:rPr>
              <w:t>ransición</w:t>
            </w:r>
            <w:r w:rsidRPr="0087786B">
              <w:rPr>
                <w:rFonts w:ascii="Arial" w:eastAsiaTheme="minorHAnsi" w:hAnsi="Arial" w:cs="Arial"/>
                <w:bCs/>
                <w:lang w:eastAsia="en-US"/>
              </w:rPr>
              <w:t xml:space="preserve"> 360º</w:t>
            </w:r>
            <w:r>
              <w:rPr>
                <w:rFonts w:ascii="Arial" w:eastAsiaTheme="minorHAnsi" w:hAnsi="Arial" w:cs="Arial"/>
                <w:bCs/>
                <w:lang w:eastAsia="en-US"/>
              </w:rPr>
              <w:t>.</w:t>
            </w:r>
          </w:p>
        </w:tc>
        <w:tc>
          <w:tcPr>
            <w:tcW w:w="1553" w:type="dxa"/>
            <w:noWrap/>
            <w:hideMark/>
          </w:tcPr>
          <w:p w14:paraId="6B5C8B74"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69845059" w14:textId="77777777" w:rsidTr="00EF4B75">
        <w:trPr>
          <w:trHeight w:val="1408"/>
        </w:trPr>
        <w:tc>
          <w:tcPr>
            <w:tcW w:w="1361" w:type="dxa"/>
            <w:noWrap/>
            <w:hideMark/>
          </w:tcPr>
          <w:p w14:paraId="4B25BCA5" w14:textId="1AB89F4D"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01C2F118" w14:textId="128069B8" w:rsidR="00416682" w:rsidRPr="0087786B" w:rsidRDefault="00416682"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B</w:t>
            </w:r>
            <w:r w:rsidRPr="0087786B">
              <w:rPr>
                <w:rFonts w:ascii="Arial" w:eastAsiaTheme="minorHAnsi" w:hAnsi="Arial" w:cs="Arial"/>
                <w:bCs/>
                <w:lang w:eastAsia="en-US"/>
              </w:rPr>
              <w:t>uñol</w:t>
            </w:r>
          </w:p>
        </w:tc>
        <w:tc>
          <w:tcPr>
            <w:tcW w:w="3101" w:type="dxa"/>
            <w:hideMark/>
          </w:tcPr>
          <w:p w14:paraId="2EA7CF75" w14:textId="4D6C6A3F" w:rsidR="00416682" w:rsidRPr="0087786B" w:rsidRDefault="00EF4B75" w:rsidP="00EF4B7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PSTD</w:t>
            </w:r>
            <w:r w:rsidR="00416682" w:rsidRPr="0087786B">
              <w:rPr>
                <w:rFonts w:ascii="Arial" w:eastAsiaTheme="minorHAnsi" w:hAnsi="Arial" w:cs="Arial"/>
                <w:bCs/>
                <w:lang w:eastAsia="en-US"/>
              </w:rPr>
              <w:t xml:space="preserve"> de Buñol "Senda Verde". </w:t>
            </w:r>
            <w:r w:rsidRPr="0087786B">
              <w:rPr>
                <w:rFonts w:ascii="Arial" w:eastAsiaTheme="minorHAnsi" w:hAnsi="Arial" w:cs="Arial"/>
                <w:bCs/>
                <w:lang w:eastAsia="en-US"/>
              </w:rPr>
              <w:t>Re dinamización</w:t>
            </w:r>
            <w:r w:rsidR="00416682" w:rsidRPr="0087786B">
              <w:rPr>
                <w:rFonts w:ascii="Arial" w:eastAsiaTheme="minorHAnsi" w:hAnsi="Arial" w:cs="Arial"/>
                <w:bCs/>
                <w:lang w:eastAsia="en-US"/>
              </w:rPr>
              <w:t xml:space="preserve"> y puesta en valor de </w:t>
            </w:r>
            <w:r w:rsidRPr="0087786B">
              <w:rPr>
                <w:rFonts w:ascii="Arial" w:eastAsiaTheme="minorHAnsi" w:hAnsi="Arial" w:cs="Arial"/>
                <w:bCs/>
                <w:lang w:eastAsia="en-US"/>
              </w:rPr>
              <w:t>áreas</w:t>
            </w:r>
            <w:r w:rsidR="00416682" w:rsidRPr="0087786B">
              <w:rPr>
                <w:rFonts w:ascii="Arial" w:eastAsiaTheme="minorHAnsi" w:hAnsi="Arial" w:cs="Arial"/>
                <w:bCs/>
                <w:lang w:eastAsia="en-US"/>
              </w:rPr>
              <w:t xml:space="preserve"> naturales y su </w:t>
            </w:r>
            <w:r w:rsidRPr="0087786B">
              <w:rPr>
                <w:rFonts w:ascii="Arial" w:eastAsiaTheme="minorHAnsi" w:hAnsi="Arial" w:cs="Arial"/>
                <w:bCs/>
                <w:lang w:eastAsia="en-US"/>
              </w:rPr>
              <w:t>conexión</w:t>
            </w:r>
            <w:r w:rsidR="00416682" w:rsidRPr="0087786B">
              <w:rPr>
                <w:rFonts w:ascii="Arial" w:eastAsiaTheme="minorHAnsi" w:hAnsi="Arial" w:cs="Arial"/>
                <w:bCs/>
                <w:lang w:eastAsia="en-US"/>
              </w:rPr>
              <w:t xml:space="preserve"> con zonas patrimoniales.</w:t>
            </w:r>
          </w:p>
        </w:tc>
        <w:tc>
          <w:tcPr>
            <w:tcW w:w="1553" w:type="dxa"/>
            <w:noWrap/>
            <w:hideMark/>
          </w:tcPr>
          <w:p w14:paraId="76CE75A6"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1.000.862,00 €</w:t>
            </w:r>
          </w:p>
        </w:tc>
      </w:tr>
      <w:tr w:rsidR="00416682" w:rsidRPr="0087786B" w14:paraId="56A98785" w14:textId="77777777" w:rsidTr="00EF4B75">
        <w:trPr>
          <w:trHeight w:val="1414"/>
        </w:trPr>
        <w:tc>
          <w:tcPr>
            <w:tcW w:w="1361" w:type="dxa"/>
            <w:noWrap/>
            <w:hideMark/>
          </w:tcPr>
          <w:p w14:paraId="140B47AB" w14:textId="770E2977"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0FC91CBA" w14:textId="7777777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Alboraya</w:t>
            </w:r>
          </w:p>
        </w:tc>
        <w:tc>
          <w:tcPr>
            <w:tcW w:w="3101" w:type="dxa"/>
            <w:hideMark/>
          </w:tcPr>
          <w:p w14:paraId="315FC87D" w14:textId="64A229D7" w:rsidR="00416682" w:rsidRPr="0087786B" w:rsidRDefault="00416682" w:rsidP="00EF4B75">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 xml:space="preserve">Mejora de la puesta en valor de los productos </w:t>
            </w:r>
            <w:r w:rsidR="00EF4B75" w:rsidRPr="0087786B">
              <w:rPr>
                <w:rFonts w:ascii="Arial" w:eastAsiaTheme="minorHAnsi" w:hAnsi="Arial" w:cs="Arial"/>
                <w:bCs/>
                <w:lang w:eastAsia="en-US"/>
              </w:rPr>
              <w:t>turísticos</w:t>
            </w:r>
            <w:r w:rsidRPr="0087786B">
              <w:rPr>
                <w:rFonts w:ascii="Arial" w:eastAsiaTheme="minorHAnsi" w:hAnsi="Arial" w:cs="Arial"/>
                <w:bCs/>
                <w:lang w:eastAsia="en-US"/>
              </w:rPr>
              <w:t>, huerta, horchata y mar y activa, respondiendo a una estrategia de</w:t>
            </w:r>
            <w:r w:rsidR="00EF4B75">
              <w:rPr>
                <w:rFonts w:ascii="Arial" w:eastAsiaTheme="minorHAnsi" w:hAnsi="Arial" w:cs="Arial"/>
                <w:bCs/>
                <w:lang w:eastAsia="en-US"/>
              </w:rPr>
              <w:t xml:space="preserve"> </w:t>
            </w:r>
            <w:r w:rsidRPr="0087786B">
              <w:rPr>
                <w:rFonts w:ascii="Arial" w:eastAsiaTheme="minorHAnsi" w:hAnsi="Arial" w:cs="Arial"/>
                <w:bCs/>
                <w:lang w:eastAsia="en-US"/>
              </w:rPr>
              <w:t>turismo sostenible.</w:t>
            </w:r>
          </w:p>
        </w:tc>
        <w:tc>
          <w:tcPr>
            <w:tcW w:w="1553" w:type="dxa"/>
            <w:noWrap/>
            <w:hideMark/>
          </w:tcPr>
          <w:p w14:paraId="429B30BC"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5676A9C6" w14:textId="77777777" w:rsidTr="00416682">
        <w:trPr>
          <w:trHeight w:val="300"/>
        </w:trPr>
        <w:tc>
          <w:tcPr>
            <w:tcW w:w="1361" w:type="dxa"/>
            <w:noWrap/>
            <w:hideMark/>
          </w:tcPr>
          <w:p w14:paraId="40C0D062" w14:textId="0DB3ED1D"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40071BFD" w14:textId="7777777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Canet d'en Berenguer</w:t>
            </w:r>
          </w:p>
        </w:tc>
        <w:tc>
          <w:tcPr>
            <w:tcW w:w="3101" w:type="dxa"/>
            <w:hideMark/>
          </w:tcPr>
          <w:p w14:paraId="6BC99153" w14:textId="7777777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Canet, sostenible y digital.</w:t>
            </w:r>
          </w:p>
        </w:tc>
        <w:tc>
          <w:tcPr>
            <w:tcW w:w="1553" w:type="dxa"/>
            <w:noWrap/>
            <w:hideMark/>
          </w:tcPr>
          <w:p w14:paraId="2ED903E1"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3BFEE486" w14:textId="77777777" w:rsidTr="00416682">
        <w:trPr>
          <w:trHeight w:val="525"/>
        </w:trPr>
        <w:tc>
          <w:tcPr>
            <w:tcW w:w="1361" w:type="dxa"/>
            <w:noWrap/>
            <w:hideMark/>
          </w:tcPr>
          <w:p w14:paraId="215C055F" w14:textId="62AF3C7C"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6246CB53" w14:textId="7C662D55" w:rsidR="00416682" w:rsidRPr="0087786B" w:rsidRDefault="00EF4B75" w:rsidP="00416682">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Puçol</w:t>
            </w:r>
          </w:p>
        </w:tc>
        <w:tc>
          <w:tcPr>
            <w:tcW w:w="3101" w:type="dxa"/>
            <w:hideMark/>
          </w:tcPr>
          <w:p w14:paraId="50F329BC" w14:textId="7777777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PSTD Puçol: entre Mar y Montaña</w:t>
            </w:r>
          </w:p>
        </w:tc>
        <w:tc>
          <w:tcPr>
            <w:tcW w:w="1553" w:type="dxa"/>
            <w:noWrap/>
            <w:hideMark/>
          </w:tcPr>
          <w:p w14:paraId="1B94F16F"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4C687BCA" w14:textId="77777777" w:rsidTr="00416682">
        <w:trPr>
          <w:trHeight w:val="525"/>
        </w:trPr>
        <w:tc>
          <w:tcPr>
            <w:tcW w:w="1361" w:type="dxa"/>
            <w:noWrap/>
            <w:hideMark/>
          </w:tcPr>
          <w:p w14:paraId="3C91C12C" w14:textId="421D021D"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3EAC7C51" w14:textId="7777777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Sagunto</w:t>
            </w:r>
          </w:p>
        </w:tc>
        <w:tc>
          <w:tcPr>
            <w:tcW w:w="3101" w:type="dxa"/>
            <w:hideMark/>
          </w:tcPr>
          <w:p w14:paraId="7A2A0644" w14:textId="610A7F4A"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Sagunto: </w:t>
            </w:r>
            <w:r w:rsidR="00EF4B75" w:rsidRPr="0087786B">
              <w:rPr>
                <w:rFonts w:ascii="Arial" w:eastAsiaTheme="minorHAnsi" w:hAnsi="Arial" w:cs="Arial"/>
                <w:bCs/>
                <w:lang w:eastAsia="en-US"/>
              </w:rPr>
              <w:t>cohesión</w:t>
            </w:r>
            <w:r w:rsidRPr="0087786B">
              <w:rPr>
                <w:rFonts w:ascii="Arial" w:eastAsiaTheme="minorHAnsi" w:hAnsi="Arial" w:cs="Arial"/>
                <w:bCs/>
                <w:lang w:eastAsia="en-US"/>
              </w:rPr>
              <w:t xml:space="preserve"> territorial e impulso de la 'cultura de la mar'</w:t>
            </w:r>
          </w:p>
        </w:tc>
        <w:tc>
          <w:tcPr>
            <w:tcW w:w="1553" w:type="dxa"/>
            <w:noWrap/>
            <w:hideMark/>
          </w:tcPr>
          <w:p w14:paraId="393F4C8C"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416682" w:rsidRPr="0087786B" w14:paraId="34986CE0" w14:textId="77777777" w:rsidTr="00416682">
        <w:trPr>
          <w:trHeight w:val="525"/>
        </w:trPr>
        <w:tc>
          <w:tcPr>
            <w:tcW w:w="1361" w:type="dxa"/>
            <w:noWrap/>
            <w:hideMark/>
          </w:tcPr>
          <w:p w14:paraId="5F61C18F" w14:textId="515CD5A5" w:rsidR="00416682" w:rsidRPr="0087786B" w:rsidRDefault="00416682" w:rsidP="00416682">
            <w:pPr>
              <w:tabs>
                <w:tab w:val="left" w:pos="426"/>
              </w:tabs>
              <w:spacing w:line="276" w:lineRule="auto"/>
              <w:jc w:val="both"/>
              <w:rPr>
                <w:rFonts w:ascii="Arial" w:eastAsiaTheme="minorHAnsi" w:hAnsi="Arial" w:cs="Arial"/>
                <w:bCs/>
                <w:lang w:eastAsia="en-US"/>
              </w:rPr>
            </w:pPr>
            <w:r w:rsidRPr="002413DA">
              <w:rPr>
                <w:rFonts w:ascii="Arial" w:hAnsi="Arial" w:cs="Arial"/>
              </w:rPr>
              <w:t>Comunitat Valenciana</w:t>
            </w:r>
          </w:p>
        </w:tc>
        <w:tc>
          <w:tcPr>
            <w:tcW w:w="2479" w:type="dxa"/>
            <w:noWrap/>
            <w:hideMark/>
          </w:tcPr>
          <w:p w14:paraId="444B683C" w14:textId="7777777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Xàtiva</w:t>
            </w:r>
          </w:p>
        </w:tc>
        <w:tc>
          <w:tcPr>
            <w:tcW w:w="3101" w:type="dxa"/>
            <w:hideMark/>
          </w:tcPr>
          <w:p w14:paraId="1BEAA51C" w14:textId="77777777" w:rsidR="00416682" w:rsidRPr="0087786B" w:rsidRDefault="00416682" w:rsidP="00416682">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Castell de Xàtiva</w:t>
            </w:r>
          </w:p>
        </w:tc>
        <w:tc>
          <w:tcPr>
            <w:tcW w:w="1553" w:type="dxa"/>
            <w:noWrap/>
            <w:hideMark/>
          </w:tcPr>
          <w:p w14:paraId="13CCD873" w14:textId="77777777" w:rsidR="00416682" w:rsidRPr="0087786B" w:rsidRDefault="00416682" w:rsidP="00416682">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2.001.722,00 €</w:t>
            </w:r>
          </w:p>
        </w:tc>
      </w:tr>
      <w:tr w:rsidR="0087786B" w:rsidRPr="0087786B" w14:paraId="5F6AE229" w14:textId="77777777" w:rsidTr="00416682">
        <w:trPr>
          <w:trHeight w:val="525"/>
        </w:trPr>
        <w:tc>
          <w:tcPr>
            <w:tcW w:w="1361" w:type="dxa"/>
            <w:noWrap/>
            <w:hideMark/>
          </w:tcPr>
          <w:p w14:paraId="5695909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Extremadura</w:t>
            </w:r>
          </w:p>
        </w:tc>
        <w:tc>
          <w:tcPr>
            <w:tcW w:w="2479" w:type="dxa"/>
            <w:noWrap/>
            <w:hideMark/>
          </w:tcPr>
          <w:p w14:paraId="42D8A1B5" w14:textId="60A325D1" w:rsidR="0087786B" w:rsidRPr="0087786B" w:rsidRDefault="00EF4B7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 de Badajoz</w:t>
            </w:r>
          </w:p>
        </w:tc>
        <w:tc>
          <w:tcPr>
            <w:tcW w:w="3101" w:type="dxa"/>
            <w:hideMark/>
          </w:tcPr>
          <w:p w14:paraId="0BC0871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Campiña Sur</w:t>
            </w:r>
          </w:p>
        </w:tc>
        <w:tc>
          <w:tcPr>
            <w:tcW w:w="1553" w:type="dxa"/>
            <w:noWrap/>
            <w:hideMark/>
          </w:tcPr>
          <w:p w14:paraId="740ADA70"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4.850.000,00 €</w:t>
            </w:r>
          </w:p>
        </w:tc>
      </w:tr>
      <w:tr w:rsidR="0087786B" w:rsidRPr="0087786B" w14:paraId="616C4279" w14:textId="77777777" w:rsidTr="00EF4B75">
        <w:trPr>
          <w:trHeight w:val="835"/>
        </w:trPr>
        <w:tc>
          <w:tcPr>
            <w:tcW w:w="1361" w:type="dxa"/>
            <w:noWrap/>
            <w:hideMark/>
          </w:tcPr>
          <w:p w14:paraId="2273394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Extremadura</w:t>
            </w:r>
          </w:p>
        </w:tc>
        <w:tc>
          <w:tcPr>
            <w:tcW w:w="2479" w:type="dxa"/>
            <w:noWrap/>
            <w:hideMark/>
          </w:tcPr>
          <w:p w14:paraId="39683DD8" w14:textId="571A6F28" w:rsidR="0087786B" w:rsidRPr="0087786B" w:rsidRDefault="00EF4B7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 provincial de Cáceres</w:t>
            </w:r>
          </w:p>
        </w:tc>
        <w:tc>
          <w:tcPr>
            <w:tcW w:w="3101" w:type="dxa"/>
            <w:hideMark/>
          </w:tcPr>
          <w:p w14:paraId="6F194907" w14:textId="346D3C8D" w:rsidR="0087786B" w:rsidRPr="0087786B" w:rsidRDefault="00EF4B75" w:rsidP="00EF4B75">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Sabores y paisajes gastronómicos de las tierras de Cáceres y Trujillo</w:t>
            </w:r>
          </w:p>
        </w:tc>
        <w:tc>
          <w:tcPr>
            <w:tcW w:w="1553" w:type="dxa"/>
            <w:noWrap/>
            <w:hideMark/>
          </w:tcPr>
          <w:p w14:paraId="38138F46"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4.850.000,00 €</w:t>
            </w:r>
          </w:p>
        </w:tc>
      </w:tr>
      <w:tr w:rsidR="0087786B" w:rsidRPr="0087786B" w14:paraId="2B8234B1" w14:textId="77777777" w:rsidTr="00416682">
        <w:trPr>
          <w:trHeight w:val="525"/>
        </w:trPr>
        <w:tc>
          <w:tcPr>
            <w:tcW w:w="1361" w:type="dxa"/>
            <w:noWrap/>
            <w:hideMark/>
          </w:tcPr>
          <w:p w14:paraId="113F183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Extremadura</w:t>
            </w:r>
          </w:p>
        </w:tc>
        <w:tc>
          <w:tcPr>
            <w:tcW w:w="2479" w:type="dxa"/>
            <w:noWrap/>
            <w:hideMark/>
          </w:tcPr>
          <w:p w14:paraId="3C8FC96C" w14:textId="2A332B0F"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Municipios de la CA de Extremadura</w:t>
            </w:r>
          </w:p>
        </w:tc>
        <w:tc>
          <w:tcPr>
            <w:tcW w:w="3101" w:type="dxa"/>
            <w:hideMark/>
          </w:tcPr>
          <w:p w14:paraId="732F01DB" w14:textId="66413322" w:rsidR="0087786B" w:rsidRPr="0087786B" w:rsidRDefault="00EF4B7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ACD </w:t>
            </w:r>
            <w:r w:rsidRPr="0087786B">
              <w:rPr>
                <w:rFonts w:ascii="Arial" w:eastAsiaTheme="minorHAnsi" w:hAnsi="Arial" w:cs="Arial"/>
                <w:bCs/>
                <w:lang w:eastAsia="en-US"/>
              </w:rPr>
              <w:t>Extremadura, destino de turismo azul</w:t>
            </w:r>
          </w:p>
        </w:tc>
        <w:tc>
          <w:tcPr>
            <w:tcW w:w="1553" w:type="dxa"/>
            <w:noWrap/>
            <w:hideMark/>
          </w:tcPr>
          <w:p w14:paraId="6D6735A7"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6AB031C6" w14:textId="77777777" w:rsidTr="00416682">
        <w:trPr>
          <w:trHeight w:val="525"/>
        </w:trPr>
        <w:tc>
          <w:tcPr>
            <w:tcW w:w="1361" w:type="dxa"/>
            <w:noWrap/>
            <w:hideMark/>
          </w:tcPr>
          <w:p w14:paraId="3D2C28DE"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Extremadura</w:t>
            </w:r>
          </w:p>
        </w:tc>
        <w:tc>
          <w:tcPr>
            <w:tcW w:w="2479" w:type="dxa"/>
            <w:noWrap/>
            <w:hideMark/>
          </w:tcPr>
          <w:p w14:paraId="622899D3" w14:textId="1816595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Municipios de la CA de Extremadura</w:t>
            </w:r>
          </w:p>
        </w:tc>
        <w:tc>
          <w:tcPr>
            <w:tcW w:w="3101" w:type="dxa"/>
            <w:hideMark/>
          </w:tcPr>
          <w:p w14:paraId="4AA210F0" w14:textId="35CC4283" w:rsidR="0087786B" w:rsidRPr="0087786B" w:rsidRDefault="00EF4B75"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ACD </w:t>
            </w:r>
            <w:r w:rsidRPr="0087786B">
              <w:rPr>
                <w:rFonts w:ascii="Arial" w:eastAsiaTheme="minorHAnsi" w:hAnsi="Arial" w:cs="Arial"/>
                <w:bCs/>
                <w:lang w:eastAsia="en-US"/>
              </w:rPr>
              <w:t>Extremadura, destino de experiencias</w:t>
            </w:r>
          </w:p>
        </w:tc>
        <w:tc>
          <w:tcPr>
            <w:tcW w:w="1553" w:type="dxa"/>
            <w:noWrap/>
            <w:hideMark/>
          </w:tcPr>
          <w:p w14:paraId="4670A67F"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9.822.000,00 €</w:t>
            </w:r>
          </w:p>
        </w:tc>
      </w:tr>
      <w:tr w:rsidR="0087786B" w:rsidRPr="0087786B" w14:paraId="65363D34" w14:textId="77777777" w:rsidTr="00EF4B75">
        <w:trPr>
          <w:trHeight w:val="749"/>
        </w:trPr>
        <w:tc>
          <w:tcPr>
            <w:tcW w:w="1361" w:type="dxa"/>
            <w:noWrap/>
            <w:hideMark/>
          </w:tcPr>
          <w:p w14:paraId="0472586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Galicia</w:t>
            </w:r>
          </w:p>
        </w:tc>
        <w:tc>
          <w:tcPr>
            <w:tcW w:w="2479" w:type="dxa"/>
            <w:noWrap/>
            <w:hideMark/>
          </w:tcPr>
          <w:p w14:paraId="31B5B78A" w14:textId="4A94E497" w:rsidR="0087786B" w:rsidRPr="0087786B" w:rsidRDefault="0087786B" w:rsidP="00EF4B75">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Ayuntamiento de Betanzos</w:t>
            </w:r>
          </w:p>
        </w:tc>
        <w:tc>
          <w:tcPr>
            <w:tcW w:w="3101" w:type="dxa"/>
            <w:hideMark/>
          </w:tcPr>
          <w:p w14:paraId="234F005A" w14:textId="0BF20B60" w:rsidR="0087786B" w:rsidRPr="0087786B" w:rsidRDefault="00EF4B75"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Casco histórico</w:t>
            </w:r>
            <w:r>
              <w:rPr>
                <w:rFonts w:ascii="Arial" w:eastAsiaTheme="minorHAnsi" w:hAnsi="Arial" w:cs="Arial"/>
                <w:bCs/>
                <w:lang w:eastAsia="en-US"/>
              </w:rPr>
              <w:t xml:space="preserve"> de B</w:t>
            </w:r>
            <w:r w:rsidRPr="0087786B">
              <w:rPr>
                <w:rFonts w:ascii="Arial" w:eastAsiaTheme="minorHAnsi" w:hAnsi="Arial" w:cs="Arial"/>
                <w:bCs/>
                <w:lang w:eastAsia="en-US"/>
              </w:rPr>
              <w:t>etanzos: el pasado como motor de futuro sostenible</w:t>
            </w:r>
          </w:p>
        </w:tc>
        <w:tc>
          <w:tcPr>
            <w:tcW w:w="1553" w:type="dxa"/>
            <w:noWrap/>
            <w:hideMark/>
          </w:tcPr>
          <w:p w14:paraId="28CD40A8"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1.000.000,00 €</w:t>
            </w:r>
          </w:p>
        </w:tc>
      </w:tr>
      <w:tr w:rsidR="0087786B" w:rsidRPr="0087786B" w14:paraId="3BB19EAC" w14:textId="77777777" w:rsidTr="00416682">
        <w:trPr>
          <w:trHeight w:val="780"/>
        </w:trPr>
        <w:tc>
          <w:tcPr>
            <w:tcW w:w="1361" w:type="dxa"/>
            <w:noWrap/>
            <w:hideMark/>
          </w:tcPr>
          <w:p w14:paraId="6CD6DB5D"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Galicia</w:t>
            </w:r>
          </w:p>
        </w:tc>
        <w:tc>
          <w:tcPr>
            <w:tcW w:w="2479" w:type="dxa"/>
            <w:noWrap/>
            <w:hideMark/>
          </w:tcPr>
          <w:p w14:paraId="09AA7912" w14:textId="0AE66D8E" w:rsidR="0087786B" w:rsidRPr="0087786B" w:rsidRDefault="00EF4B75" w:rsidP="00EF4B7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Deputacion provincial da C</w:t>
            </w:r>
            <w:r w:rsidRPr="0087786B">
              <w:rPr>
                <w:rFonts w:ascii="Arial" w:eastAsiaTheme="minorHAnsi" w:hAnsi="Arial" w:cs="Arial"/>
                <w:bCs/>
                <w:lang w:eastAsia="en-US"/>
              </w:rPr>
              <w:t>oruña</w:t>
            </w:r>
          </w:p>
        </w:tc>
        <w:tc>
          <w:tcPr>
            <w:tcW w:w="3101" w:type="dxa"/>
            <w:hideMark/>
          </w:tcPr>
          <w:p w14:paraId="6BF36BC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en Destinos Baterias de Ferrolterra</w:t>
            </w:r>
          </w:p>
        </w:tc>
        <w:tc>
          <w:tcPr>
            <w:tcW w:w="1553" w:type="dxa"/>
            <w:noWrap/>
            <w:hideMark/>
          </w:tcPr>
          <w:p w14:paraId="747B5D27"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39218CB1" w14:textId="77777777" w:rsidTr="00416682">
        <w:trPr>
          <w:trHeight w:val="1035"/>
        </w:trPr>
        <w:tc>
          <w:tcPr>
            <w:tcW w:w="1361" w:type="dxa"/>
            <w:noWrap/>
            <w:hideMark/>
          </w:tcPr>
          <w:p w14:paraId="28210FEA"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Galicia</w:t>
            </w:r>
          </w:p>
        </w:tc>
        <w:tc>
          <w:tcPr>
            <w:tcW w:w="2479" w:type="dxa"/>
            <w:noWrap/>
            <w:hideMark/>
          </w:tcPr>
          <w:p w14:paraId="176C5F46" w14:textId="43426F19" w:rsidR="0087786B" w:rsidRPr="0087786B" w:rsidRDefault="00EF4B75" w:rsidP="00EF4B75">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Consorcio de turismo Ribeira S</w:t>
            </w:r>
            <w:r w:rsidRPr="0087786B">
              <w:rPr>
                <w:rFonts w:ascii="Arial" w:eastAsiaTheme="minorHAnsi" w:hAnsi="Arial" w:cs="Arial"/>
                <w:bCs/>
                <w:lang w:eastAsia="en-US"/>
              </w:rPr>
              <w:t>acra</w:t>
            </w:r>
            <w:r>
              <w:rPr>
                <w:rFonts w:ascii="Arial" w:eastAsiaTheme="minorHAnsi" w:hAnsi="Arial" w:cs="Arial"/>
                <w:bCs/>
                <w:lang w:eastAsia="en-US"/>
              </w:rPr>
              <w:t>.</w:t>
            </w:r>
          </w:p>
        </w:tc>
        <w:tc>
          <w:tcPr>
            <w:tcW w:w="3101" w:type="dxa"/>
            <w:hideMark/>
          </w:tcPr>
          <w:p w14:paraId="338FBD0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en Ribeira Sacra. Compromiso con la movilidad sostenible y la mejora continua.</w:t>
            </w:r>
          </w:p>
        </w:tc>
        <w:tc>
          <w:tcPr>
            <w:tcW w:w="1553" w:type="dxa"/>
            <w:noWrap/>
            <w:hideMark/>
          </w:tcPr>
          <w:p w14:paraId="2C544D2D"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4EB6F00E" w14:textId="77777777" w:rsidTr="00416682">
        <w:trPr>
          <w:trHeight w:val="300"/>
        </w:trPr>
        <w:tc>
          <w:tcPr>
            <w:tcW w:w="1361" w:type="dxa"/>
            <w:noWrap/>
            <w:hideMark/>
          </w:tcPr>
          <w:p w14:paraId="571F37DE"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Galicia</w:t>
            </w:r>
          </w:p>
        </w:tc>
        <w:tc>
          <w:tcPr>
            <w:tcW w:w="2479" w:type="dxa"/>
            <w:noWrap/>
            <w:hideMark/>
          </w:tcPr>
          <w:p w14:paraId="63AF2A1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Allariz</w:t>
            </w:r>
          </w:p>
        </w:tc>
        <w:tc>
          <w:tcPr>
            <w:tcW w:w="3101" w:type="dxa"/>
            <w:hideMark/>
          </w:tcPr>
          <w:p w14:paraId="51EFC55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Allariz Destino Sostenible</w:t>
            </w:r>
          </w:p>
        </w:tc>
        <w:tc>
          <w:tcPr>
            <w:tcW w:w="1553" w:type="dxa"/>
            <w:noWrap/>
            <w:hideMark/>
          </w:tcPr>
          <w:p w14:paraId="7673ACB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1.000.000,00 €</w:t>
            </w:r>
          </w:p>
        </w:tc>
      </w:tr>
      <w:tr w:rsidR="0087786B" w:rsidRPr="0087786B" w14:paraId="09F139E6" w14:textId="77777777" w:rsidTr="00416682">
        <w:trPr>
          <w:trHeight w:val="1035"/>
        </w:trPr>
        <w:tc>
          <w:tcPr>
            <w:tcW w:w="1361" w:type="dxa"/>
            <w:noWrap/>
            <w:hideMark/>
          </w:tcPr>
          <w:p w14:paraId="5B242CD0"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Galicia</w:t>
            </w:r>
          </w:p>
        </w:tc>
        <w:tc>
          <w:tcPr>
            <w:tcW w:w="2479" w:type="dxa"/>
            <w:noWrap/>
            <w:hideMark/>
          </w:tcPr>
          <w:p w14:paraId="15D81EB4" w14:textId="26EF5C20" w:rsidR="0087786B" w:rsidRPr="0087786B" w:rsidRDefault="002F5DB2"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Deputacion de O</w:t>
            </w:r>
            <w:r w:rsidRPr="0087786B">
              <w:rPr>
                <w:rFonts w:ascii="Arial" w:eastAsiaTheme="minorHAnsi" w:hAnsi="Arial" w:cs="Arial"/>
                <w:bCs/>
                <w:lang w:eastAsia="en-US"/>
              </w:rPr>
              <w:t>urense</w:t>
            </w:r>
          </w:p>
        </w:tc>
        <w:tc>
          <w:tcPr>
            <w:tcW w:w="3101" w:type="dxa"/>
            <w:hideMark/>
          </w:tcPr>
          <w:p w14:paraId="1F1E8B87" w14:textId="44F1B7E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Plan de Sostenibilidad Turistica Ourense Coge Velocidad, Villas </w:t>
            </w:r>
            <w:r w:rsidR="002F5DB2" w:rsidRPr="0087786B">
              <w:rPr>
                <w:rFonts w:ascii="Arial" w:eastAsiaTheme="minorHAnsi" w:hAnsi="Arial" w:cs="Arial"/>
                <w:bCs/>
                <w:lang w:eastAsia="en-US"/>
              </w:rPr>
              <w:t>Hist</w:t>
            </w:r>
            <w:r w:rsidR="002F5DB2">
              <w:rPr>
                <w:rFonts w:ascii="Arial" w:eastAsiaTheme="minorHAnsi" w:hAnsi="Arial" w:cs="Arial"/>
                <w:bCs/>
                <w:lang w:eastAsia="en-US"/>
              </w:rPr>
              <w:t>óricas y Termales</w:t>
            </w:r>
          </w:p>
        </w:tc>
        <w:tc>
          <w:tcPr>
            <w:tcW w:w="1553" w:type="dxa"/>
            <w:noWrap/>
            <w:hideMark/>
          </w:tcPr>
          <w:p w14:paraId="71DB6CF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1.500.000,00 €</w:t>
            </w:r>
          </w:p>
        </w:tc>
      </w:tr>
      <w:tr w:rsidR="0087786B" w:rsidRPr="0087786B" w14:paraId="1E656086" w14:textId="77777777" w:rsidTr="00416682">
        <w:trPr>
          <w:trHeight w:val="525"/>
        </w:trPr>
        <w:tc>
          <w:tcPr>
            <w:tcW w:w="1361" w:type="dxa"/>
            <w:noWrap/>
            <w:hideMark/>
          </w:tcPr>
          <w:p w14:paraId="0646D62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Galicia</w:t>
            </w:r>
          </w:p>
        </w:tc>
        <w:tc>
          <w:tcPr>
            <w:tcW w:w="2479" w:type="dxa"/>
            <w:noWrap/>
            <w:hideMark/>
          </w:tcPr>
          <w:p w14:paraId="6691F5A6" w14:textId="179DA835" w:rsidR="0087786B" w:rsidRPr="0087786B" w:rsidRDefault="002F5DB2"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Asociación</w:t>
            </w:r>
            <w:r>
              <w:rPr>
                <w:rFonts w:ascii="Arial" w:eastAsiaTheme="minorHAnsi" w:hAnsi="Arial" w:cs="Arial"/>
                <w:bCs/>
                <w:lang w:eastAsia="en-US"/>
              </w:rPr>
              <w:t xml:space="preserve"> M</w:t>
            </w:r>
            <w:r w:rsidRPr="0087786B">
              <w:rPr>
                <w:rFonts w:ascii="Arial" w:eastAsiaTheme="minorHAnsi" w:hAnsi="Arial" w:cs="Arial"/>
                <w:bCs/>
                <w:lang w:eastAsia="en-US"/>
              </w:rPr>
              <w:t>ar de Santiago</w:t>
            </w:r>
          </w:p>
        </w:tc>
        <w:tc>
          <w:tcPr>
            <w:tcW w:w="3101" w:type="dxa"/>
            <w:hideMark/>
          </w:tcPr>
          <w:p w14:paraId="0889C197" w14:textId="7A40FBBB"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Mar de Santiago: Un recorrido </w:t>
            </w:r>
            <w:r w:rsidR="002F5DB2" w:rsidRPr="0087786B">
              <w:rPr>
                <w:rFonts w:ascii="Arial" w:eastAsiaTheme="minorHAnsi" w:hAnsi="Arial" w:cs="Arial"/>
                <w:bCs/>
                <w:lang w:eastAsia="en-US"/>
              </w:rPr>
              <w:t>marítimo</w:t>
            </w:r>
            <w:r w:rsidRPr="0087786B">
              <w:rPr>
                <w:rFonts w:ascii="Arial" w:eastAsiaTheme="minorHAnsi" w:hAnsi="Arial" w:cs="Arial"/>
                <w:bCs/>
                <w:lang w:eastAsia="en-US"/>
              </w:rPr>
              <w:t xml:space="preserve"> - fluvial</w:t>
            </w:r>
          </w:p>
        </w:tc>
        <w:tc>
          <w:tcPr>
            <w:tcW w:w="1553" w:type="dxa"/>
            <w:noWrap/>
            <w:hideMark/>
          </w:tcPr>
          <w:p w14:paraId="27D480F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1.700.000,00 €</w:t>
            </w:r>
          </w:p>
        </w:tc>
      </w:tr>
      <w:tr w:rsidR="0087786B" w:rsidRPr="0087786B" w14:paraId="44C109D4" w14:textId="77777777" w:rsidTr="00416682">
        <w:trPr>
          <w:trHeight w:val="780"/>
        </w:trPr>
        <w:tc>
          <w:tcPr>
            <w:tcW w:w="1361" w:type="dxa"/>
            <w:noWrap/>
            <w:hideMark/>
          </w:tcPr>
          <w:p w14:paraId="3234BCC3"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Galicia</w:t>
            </w:r>
          </w:p>
        </w:tc>
        <w:tc>
          <w:tcPr>
            <w:tcW w:w="2479" w:type="dxa"/>
            <w:noWrap/>
            <w:hideMark/>
          </w:tcPr>
          <w:p w14:paraId="2C3A54A4" w14:textId="3D417308"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Ayuntamiento de </w:t>
            </w:r>
            <w:r w:rsidR="002F5DB2" w:rsidRPr="0087786B">
              <w:rPr>
                <w:rFonts w:ascii="Arial" w:eastAsiaTheme="minorHAnsi" w:hAnsi="Arial" w:cs="Arial"/>
                <w:bCs/>
                <w:lang w:eastAsia="en-US"/>
              </w:rPr>
              <w:t>Vigo</w:t>
            </w:r>
          </w:p>
        </w:tc>
        <w:tc>
          <w:tcPr>
            <w:tcW w:w="3101" w:type="dxa"/>
            <w:hideMark/>
          </w:tcPr>
          <w:p w14:paraId="54CDDC36" w14:textId="10C7F620"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Plan de Sostenibilidad Turistica del Casco </w:t>
            </w:r>
            <w:r w:rsidR="002F5DB2" w:rsidRPr="0087786B">
              <w:rPr>
                <w:rFonts w:ascii="Arial" w:eastAsiaTheme="minorHAnsi" w:hAnsi="Arial" w:cs="Arial"/>
                <w:bCs/>
                <w:lang w:eastAsia="en-US"/>
              </w:rPr>
              <w:t>Histórico</w:t>
            </w:r>
            <w:r w:rsidRPr="0087786B">
              <w:rPr>
                <w:rFonts w:ascii="Arial" w:eastAsiaTheme="minorHAnsi" w:hAnsi="Arial" w:cs="Arial"/>
                <w:bCs/>
                <w:lang w:eastAsia="en-US"/>
              </w:rPr>
              <w:t xml:space="preserve"> de la Villa de </w:t>
            </w:r>
            <w:r w:rsidR="002F5DB2" w:rsidRPr="0087786B">
              <w:rPr>
                <w:rFonts w:ascii="Arial" w:eastAsiaTheme="minorHAnsi" w:hAnsi="Arial" w:cs="Arial"/>
                <w:bCs/>
                <w:lang w:eastAsia="en-US"/>
              </w:rPr>
              <w:t>Bauzas</w:t>
            </w:r>
          </w:p>
        </w:tc>
        <w:tc>
          <w:tcPr>
            <w:tcW w:w="1553" w:type="dxa"/>
            <w:noWrap/>
            <w:hideMark/>
          </w:tcPr>
          <w:p w14:paraId="7885EC24"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47C285AF" w14:textId="77777777" w:rsidTr="00416682">
        <w:trPr>
          <w:trHeight w:val="1290"/>
        </w:trPr>
        <w:tc>
          <w:tcPr>
            <w:tcW w:w="1361" w:type="dxa"/>
            <w:noWrap/>
            <w:hideMark/>
          </w:tcPr>
          <w:p w14:paraId="3CA2E17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Galicia</w:t>
            </w:r>
          </w:p>
        </w:tc>
        <w:tc>
          <w:tcPr>
            <w:tcW w:w="2479" w:type="dxa"/>
            <w:noWrap/>
            <w:hideMark/>
          </w:tcPr>
          <w:p w14:paraId="4FB01E5E" w14:textId="7DA6D9CE" w:rsidR="0087786B" w:rsidRPr="0087786B" w:rsidRDefault="002F5DB2" w:rsidP="002F5DB2">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 xml:space="preserve">Ayuntamiento Tui </w:t>
            </w:r>
            <w:r w:rsidR="0087786B" w:rsidRPr="0087786B">
              <w:rPr>
                <w:rFonts w:ascii="Arial" w:eastAsiaTheme="minorHAnsi" w:hAnsi="Arial" w:cs="Arial"/>
                <w:bCs/>
                <w:lang w:eastAsia="en-US"/>
              </w:rPr>
              <w:t>(Pontevedra)</w:t>
            </w:r>
          </w:p>
        </w:tc>
        <w:tc>
          <w:tcPr>
            <w:tcW w:w="3101" w:type="dxa"/>
            <w:hideMark/>
          </w:tcPr>
          <w:p w14:paraId="3289E653" w14:textId="78157AA4" w:rsidR="0087786B" w:rsidRPr="0087786B" w:rsidRDefault="0087786B" w:rsidP="002F5DB2">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 xml:space="preserve">Villas Termales y Cascos </w:t>
            </w:r>
            <w:r w:rsidR="002F5DB2" w:rsidRPr="0087786B">
              <w:rPr>
                <w:rFonts w:ascii="Arial" w:eastAsiaTheme="minorHAnsi" w:hAnsi="Arial" w:cs="Arial"/>
                <w:bCs/>
                <w:lang w:eastAsia="en-US"/>
              </w:rPr>
              <w:t>Históricos</w:t>
            </w:r>
            <w:r w:rsidR="002F5DB2">
              <w:rPr>
                <w:rFonts w:ascii="Arial" w:eastAsiaTheme="minorHAnsi" w:hAnsi="Arial" w:cs="Arial"/>
                <w:bCs/>
                <w:lang w:eastAsia="en-US"/>
              </w:rPr>
              <w:t xml:space="preserve">. </w:t>
            </w:r>
            <w:r w:rsidRPr="0087786B">
              <w:rPr>
                <w:rFonts w:ascii="Arial" w:eastAsiaTheme="minorHAnsi" w:hAnsi="Arial" w:cs="Arial"/>
                <w:bCs/>
                <w:lang w:eastAsia="en-US"/>
              </w:rPr>
              <w:t xml:space="preserve">Plan "Vive la historia, descubre Tui: </w:t>
            </w:r>
            <w:r w:rsidR="002F5DB2" w:rsidRPr="0087786B">
              <w:rPr>
                <w:rFonts w:ascii="Arial" w:eastAsiaTheme="minorHAnsi" w:hAnsi="Arial" w:cs="Arial"/>
                <w:bCs/>
                <w:lang w:eastAsia="en-US"/>
              </w:rPr>
              <w:t>conexión</w:t>
            </w:r>
            <w:r w:rsidRPr="0087786B">
              <w:rPr>
                <w:rFonts w:ascii="Arial" w:eastAsiaTheme="minorHAnsi" w:hAnsi="Arial" w:cs="Arial"/>
                <w:bCs/>
                <w:lang w:eastAsia="en-US"/>
              </w:rPr>
              <w:t xml:space="preserve"> sostenible</w:t>
            </w:r>
            <w:r w:rsidR="002F5DB2">
              <w:rPr>
                <w:rFonts w:ascii="Arial" w:eastAsiaTheme="minorHAnsi" w:hAnsi="Arial" w:cs="Arial"/>
                <w:bCs/>
                <w:lang w:eastAsia="en-US"/>
              </w:rPr>
              <w:t xml:space="preserve"> entre patrimonio y naturaleza.</w:t>
            </w:r>
          </w:p>
        </w:tc>
        <w:tc>
          <w:tcPr>
            <w:tcW w:w="1553" w:type="dxa"/>
            <w:noWrap/>
            <w:hideMark/>
          </w:tcPr>
          <w:p w14:paraId="6F55C06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7DC4C6A2" w14:textId="77777777" w:rsidTr="00416682">
        <w:trPr>
          <w:trHeight w:val="525"/>
        </w:trPr>
        <w:tc>
          <w:tcPr>
            <w:tcW w:w="1361" w:type="dxa"/>
            <w:noWrap/>
            <w:hideMark/>
          </w:tcPr>
          <w:p w14:paraId="0C8F5DD3"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Galicia</w:t>
            </w:r>
          </w:p>
        </w:tc>
        <w:tc>
          <w:tcPr>
            <w:tcW w:w="2479" w:type="dxa"/>
            <w:noWrap/>
            <w:hideMark/>
          </w:tcPr>
          <w:p w14:paraId="730F138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Municipios de la CA de Galicia</w:t>
            </w:r>
          </w:p>
        </w:tc>
        <w:tc>
          <w:tcPr>
            <w:tcW w:w="3101" w:type="dxa"/>
            <w:hideMark/>
          </w:tcPr>
          <w:p w14:paraId="246E3FB9" w14:textId="77E95EF9" w:rsidR="0087786B" w:rsidRPr="0087786B" w:rsidRDefault="002F5DB2"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ACD </w:t>
            </w:r>
            <w:r w:rsidRPr="0087786B">
              <w:rPr>
                <w:rFonts w:ascii="Arial" w:eastAsiaTheme="minorHAnsi" w:hAnsi="Arial" w:cs="Arial"/>
                <w:bCs/>
                <w:lang w:eastAsia="en-US"/>
              </w:rPr>
              <w:t>Galicia, destino termal de referencia</w:t>
            </w:r>
          </w:p>
        </w:tc>
        <w:tc>
          <w:tcPr>
            <w:tcW w:w="1553" w:type="dxa"/>
            <w:noWrap/>
            <w:hideMark/>
          </w:tcPr>
          <w:p w14:paraId="348F6FE7" w14:textId="77777777" w:rsidR="0087786B" w:rsidRPr="0087786B" w:rsidRDefault="0087786B" w:rsidP="002F5DB2">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10.035.000,00 €</w:t>
            </w:r>
          </w:p>
        </w:tc>
      </w:tr>
      <w:tr w:rsidR="0087786B" w:rsidRPr="0087786B" w14:paraId="5A59DF2B" w14:textId="77777777" w:rsidTr="002F5DB2">
        <w:trPr>
          <w:trHeight w:val="838"/>
        </w:trPr>
        <w:tc>
          <w:tcPr>
            <w:tcW w:w="1361" w:type="dxa"/>
            <w:noWrap/>
            <w:hideMark/>
          </w:tcPr>
          <w:p w14:paraId="01052D4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Baleares</w:t>
            </w:r>
          </w:p>
        </w:tc>
        <w:tc>
          <w:tcPr>
            <w:tcW w:w="2479" w:type="dxa"/>
            <w:noWrap/>
            <w:hideMark/>
          </w:tcPr>
          <w:p w14:paraId="3EA63948" w14:textId="2FA10730" w:rsidR="0087786B" w:rsidRPr="0087786B" w:rsidRDefault="002F5DB2"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Ajuntament d</w:t>
            </w:r>
            <w:r w:rsidRPr="0087786B">
              <w:rPr>
                <w:rFonts w:ascii="Arial" w:eastAsiaTheme="minorHAnsi" w:hAnsi="Arial" w:cs="Arial"/>
                <w:bCs/>
                <w:lang w:eastAsia="en-US"/>
              </w:rPr>
              <w:t>e Felanitx</w:t>
            </w:r>
          </w:p>
        </w:tc>
        <w:tc>
          <w:tcPr>
            <w:tcW w:w="3101" w:type="dxa"/>
            <w:hideMark/>
          </w:tcPr>
          <w:p w14:paraId="09F0661D" w14:textId="6EBB0330" w:rsidR="0087786B" w:rsidRPr="0087786B" w:rsidRDefault="002F5DB2"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Felanitx es cultura y naturaleza. Hacia un destino inteligente y sostenible</w:t>
            </w:r>
          </w:p>
        </w:tc>
        <w:tc>
          <w:tcPr>
            <w:tcW w:w="1553" w:type="dxa"/>
            <w:noWrap/>
            <w:hideMark/>
          </w:tcPr>
          <w:p w14:paraId="668A152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2.500.000,00 €</w:t>
            </w:r>
          </w:p>
        </w:tc>
      </w:tr>
      <w:tr w:rsidR="0087786B" w:rsidRPr="0087786B" w14:paraId="0BC1F83E" w14:textId="77777777" w:rsidTr="00416682">
        <w:trPr>
          <w:trHeight w:val="1290"/>
        </w:trPr>
        <w:tc>
          <w:tcPr>
            <w:tcW w:w="1361" w:type="dxa"/>
            <w:noWrap/>
            <w:hideMark/>
          </w:tcPr>
          <w:p w14:paraId="44D34D5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Baleares</w:t>
            </w:r>
          </w:p>
        </w:tc>
        <w:tc>
          <w:tcPr>
            <w:tcW w:w="2479" w:type="dxa"/>
            <w:noWrap/>
            <w:hideMark/>
          </w:tcPr>
          <w:p w14:paraId="794AB87A"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Ajuntament de Santa Eulària des Riu</w:t>
            </w:r>
          </w:p>
        </w:tc>
        <w:tc>
          <w:tcPr>
            <w:tcW w:w="3101" w:type="dxa"/>
            <w:hideMark/>
          </w:tcPr>
          <w:p w14:paraId="4294112A" w14:textId="1C6391CD"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Plan e </w:t>
            </w:r>
            <w:r w:rsidR="002F5DB2" w:rsidRPr="0087786B">
              <w:rPr>
                <w:rFonts w:ascii="Arial" w:eastAsiaTheme="minorHAnsi" w:hAnsi="Arial" w:cs="Arial"/>
                <w:bCs/>
                <w:lang w:eastAsia="en-US"/>
              </w:rPr>
              <w:t>diversificación</w:t>
            </w:r>
            <w:r w:rsidRPr="0087786B">
              <w:rPr>
                <w:rFonts w:ascii="Arial" w:eastAsiaTheme="minorHAnsi" w:hAnsi="Arial" w:cs="Arial"/>
                <w:bCs/>
                <w:lang w:eastAsia="en-US"/>
              </w:rPr>
              <w:t xml:space="preserve"> de la oferta </w:t>
            </w:r>
            <w:r w:rsidR="002F5DB2">
              <w:rPr>
                <w:rFonts w:ascii="Arial" w:eastAsiaTheme="minorHAnsi" w:hAnsi="Arial" w:cs="Arial"/>
                <w:bCs/>
                <w:lang w:eastAsia="en-US"/>
              </w:rPr>
              <w:t>t</w:t>
            </w:r>
            <w:r w:rsidR="002F5DB2" w:rsidRPr="0087786B">
              <w:rPr>
                <w:rFonts w:ascii="Arial" w:eastAsiaTheme="minorHAnsi" w:hAnsi="Arial" w:cs="Arial"/>
                <w:bCs/>
                <w:lang w:eastAsia="en-US"/>
              </w:rPr>
              <w:t>uristica</w:t>
            </w:r>
            <w:r w:rsidRPr="0087786B">
              <w:rPr>
                <w:rFonts w:ascii="Arial" w:eastAsiaTheme="minorHAnsi" w:hAnsi="Arial" w:cs="Arial"/>
                <w:bCs/>
                <w:lang w:eastAsia="en-US"/>
              </w:rPr>
              <w:t xml:space="preserve"> y aumento de la competitividad del sector MICE - II Fase Palacio de Congresos de Ibiza</w:t>
            </w:r>
          </w:p>
        </w:tc>
        <w:tc>
          <w:tcPr>
            <w:tcW w:w="1553" w:type="dxa"/>
            <w:noWrap/>
            <w:hideMark/>
          </w:tcPr>
          <w:p w14:paraId="4563410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6.500.000,00 €</w:t>
            </w:r>
          </w:p>
        </w:tc>
      </w:tr>
      <w:tr w:rsidR="0087786B" w:rsidRPr="0087786B" w14:paraId="19BC39A0" w14:textId="77777777" w:rsidTr="00416682">
        <w:trPr>
          <w:trHeight w:val="780"/>
        </w:trPr>
        <w:tc>
          <w:tcPr>
            <w:tcW w:w="1361" w:type="dxa"/>
            <w:noWrap/>
            <w:hideMark/>
          </w:tcPr>
          <w:p w14:paraId="2B5D286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Baleares</w:t>
            </w:r>
          </w:p>
        </w:tc>
        <w:tc>
          <w:tcPr>
            <w:tcW w:w="2479" w:type="dxa"/>
            <w:noWrap/>
            <w:hideMark/>
          </w:tcPr>
          <w:p w14:paraId="2FE4EFDC" w14:textId="2D3BD16F" w:rsidR="0087786B" w:rsidRPr="0087786B" w:rsidRDefault="002F5DB2"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Ayuntament de Calvià</w:t>
            </w:r>
          </w:p>
        </w:tc>
        <w:tc>
          <w:tcPr>
            <w:tcW w:w="3101" w:type="dxa"/>
            <w:hideMark/>
          </w:tcPr>
          <w:p w14:paraId="7CD293F9" w14:textId="5952FC0F" w:rsidR="0087786B" w:rsidRPr="0087786B" w:rsidRDefault="002F5DB2"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Mejora y embellecimiento del Bulevar d</w:t>
            </w:r>
            <w:r w:rsidRPr="0087786B">
              <w:rPr>
                <w:rFonts w:ascii="Arial" w:eastAsiaTheme="minorHAnsi" w:hAnsi="Arial" w:cs="Arial"/>
                <w:bCs/>
                <w:lang w:eastAsia="en-US"/>
              </w:rPr>
              <w:t>e Peguera</w:t>
            </w:r>
          </w:p>
        </w:tc>
        <w:tc>
          <w:tcPr>
            <w:tcW w:w="1553" w:type="dxa"/>
            <w:noWrap/>
            <w:hideMark/>
          </w:tcPr>
          <w:p w14:paraId="3583BB7B"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17A51571" w14:textId="77777777" w:rsidTr="00416682">
        <w:trPr>
          <w:trHeight w:val="525"/>
        </w:trPr>
        <w:tc>
          <w:tcPr>
            <w:tcW w:w="1361" w:type="dxa"/>
            <w:noWrap/>
            <w:hideMark/>
          </w:tcPr>
          <w:p w14:paraId="64FB5DBA"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Baleares</w:t>
            </w:r>
          </w:p>
        </w:tc>
        <w:tc>
          <w:tcPr>
            <w:tcW w:w="2479" w:type="dxa"/>
            <w:noWrap/>
            <w:hideMark/>
          </w:tcPr>
          <w:p w14:paraId="1A47A807" w14:textId="6CBCCEB0" w:rsidR="0087786B" w:rsidRPr="0087786B" w:rsidRDefault="00B8477B"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I</w:t>
            </w:r>
            <w:r w:rsidR="002F5DB2" w:rsidRPr="0087786B">
              <w:rPr>
                <w:rFonts w:ascii="Arial" w:eastAsiaTheme="minorHAnsi" w:hAnsi="Arial" w:cs="Arial"/>
                <w:bCs/>
                <w:lang w:eastAsia="en-US"/>
              </w:rPr>
              <w:t>nca</w:t>
            </w:r>
          </w:p>
        </w:tc>
        <w:tc>
          <w:tcPr>
            <w:tcW w:w="3101" w:type="dxa"/>
            <w:hideMark/>
          </w:tcPr>
          <w:p w14:paraId="4A05C6E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Inca: turismo, deporte y sostenibilidad</w:t>
            </w:r>
          </w:p>
        </w:tc>
        <w:tc>
          <w:tcPr>
            <w:tcW w:w="1553" w:type="dxa"/>
            <w:noWrap/>
            <w:hideMark/>
          </w:tcPr>
          <w:p w14:paraId="5AAC1B6D"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1.299.998,00 €</w:t>
            </w:r>
          </w:p>
        </w:tc>
      </w:tr>
      <w:tr w:rsidR="0087786B" w:rsidRPr="0087786B" w14:paraId="1EBADED8" w14:textId="77777777" w:rsidTr="00416682">
        <w:trPr>
          <w:trHeight w:val="780"/>
        </w:trPr>
        <w:tc>
          <w:tcPr>
            <w:tcW w:w="1361" w:type="dxa"/>
            <w:noWrap/>
            <w:hideMark/>
          </w:tcPr>
          <w:p w14:paraId="333458A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Baleares</w:t>
            </w:r>
          </w:p>
        </w:tc>
        <w:tc>
          <w:tcPr>
            <w:tcW w:w="2479" w:type="dxa"/>
            <w:noWrap/>
            <w:hideMark/>
          </w:tcPr>
          <w:p w14:paraId="7A39FF3E" w14:textId="4F4ADD58" w:rsidR="0087786B" w:rsidRPr="0087786B" w:rsidRDefault="00B8477B"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M</w:t>
            </w:r>
            <w:r w:rsidR="002F5DB2" w:rsidRPr="0087786B">
              <w:rPr>
                <w:rFonts w:ascii="Arial" w:eastAsiaTheme="minorHAnsi" w:hAnsi="Arial" w:cs="Arial"/>
                <w:bCs/>
                <w:lang w:eastAsia="en-US"/>
              </w:rPr>
              <w:t>uro</w:t>
            </w:r>
          </w:p>
        </w:tc>
        <w:tc>
          <w:tcPr>
            <w:tcW w:w="3101" w:type="dxa"/>
            <w:hideMark/>
          </w:tcPr>
          <w:p w14:paraId="1E01E20A" w14:textId="27D5C4FC" w:rsidR="0087786B" w:rsidRPr="0087786B" w:rsidRDefault="00B8477B"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Muro - playa de M</w:t>
            </w:r>
            <w:r w:rsidRPr="0087786B">
              <w:rPr>
                <w:rFonts w:ascii="Arial" w:eastAsiaTheme="minorHAnsi" w:hAnsi="Arial" w:cs="Arial"/>
                <w:bCs/>
                <w:lang w:eastAsia="en-US"/>
              </w:rPr>
              <w:t>uro: destino accesible, inteligente y sostenible</w:t>
            </w:r>
          </w:p>
        </w:tc>
        <w:tc>
          <w:tcPr>
            <w:tcW w:w="1553" w:type="dxa"/>
            <w:noWrap/>
            <w:hideMark/>
          </w:tcPr>
          <w:p w14:paraId="49495E7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3.500.000,00 €</w:t>
            </w:r>
          </w:p>
        </w:tc>
      </w:tr>
      <w:tr w:rsidR="0087786B" w:rsidRPr="0087786B" w14:paraId="506EEC1C" w14:textId="77777777" w:rsidTr="00416682">
        <w:trPr>
          <w:trHeight w:val="780"/>
        </w:trPr>
        <w:tc>
          <w:tcPr>
            <w:tcW w:w="1361" w:type="dxa"/>
            <w:noWrap/>
            <w:hideMark/>
          </w:tcPr>
          <w:p w14:paraId="0203BA7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Baleares</w:t>
            </w:r>
          </w:p>
        </w:tc>
        <w:tc>
          <w:tcPr>
            <w:tcW w:w="2479" w:type="dxa"/>
            <w:noWrap/>
            <w:hideMark/>
          </w:tcPr>
          <w:p w14:paraId="64164C30" w14:textId="65637422" w:rsidR="0087786B" w:rsidRPr="0087786B" w:rsidRDefault="00B8477B"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S</w:t>
            </w:r>
            <w:r w:rsidR="002F5DB2" w:rsidRPr="0087786B">
              <w:rPr>
                <w:rFonts w:ascii="Arial" w:eastAsiaTheme="minorHAnsi" w:hAnsi="Arial" w:cs="Arial"/>
                <w:bCs/>
                <w:lang w:eastAsia="en-US"/>
              </w:rPr>
              <w:t>antanyi</w:t>
            </w:r>
          </w:p>
        </w:tc>
        <w:tc>
          <w:tcPr>
            <w:tcW w:w="3101" w:type="dxa"/>
            <w:hideMark/>
          </w:tcPr>
          <w:p w14:paraId="4675B42B" w14:textId="383449EB" w:rsidR="0087786B" w:rsidRPr="0087786B" w:rsidRDefault="00B8477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mejora urbana sostenible del núcleo turístico</w:t>
            </w:r>
            <w:r>
              <w:rPr>
                <w:rFonts w:ascii="Arial" w:eastAsiaTheme="minorHAnsi" w:hAnsi="Arial" w:cs="Arial"/>
                <w:bCs/>
                <w:lang w:eastAsia="en-US"/>
              </w:rPr>
              <w:t xml:space="preserve"> de Cala D</w:t>
            </w:r>
            <w:r w:rsidRPr="0087786B">
              <w:rPr>
                <w:rFonts w:ascii="Arial" w:eastAsiaTheme="minorHAnsi" w:hAnsi="Arial" w:cs="Arial"/>
                <w:bCs/>
                <w:lang w:eastAsia="en-US"/>
              </w:rPr>
              <w:t>'or</w:t>
            </w:r>
          </w:p>
        </w:tc>
        <w:tc>
          <w:tcPr>
            <w:tcW w:w="1553" w:type="dxa"/>
            <w:noWrap/>
            <w:hideMark/>
          </w:tcPr>
          <w:p w14:paraId="2C8DA13A"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1.998.167,18 €</w:t>
            </w:r>
          </w:p>
        </w:tc>
      </w:tr>
      <w:tr w:rsidR="0087786B" w:rsidRPr="0087786B" w14:paraId="7B206D6B" w14:textId="77777777" w:rsidTr="00416682">
        <w:trPr>
          <w:trHeight w:val="525"/>
        </w:trPr>
        <w:tc>
          <w:tcPr>
            <w:tcW w:w="1361" w:type="dxa"/>
            <w:noWrap/>
            <w:hideMark/>
          </w:tcPr>
          <w:p w14:paraId="4A64D74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Baleares</w:t>
            </w:r>
          </w:p>
        </w:tc>
        <w:tc>
          <w:tcPr>
            <w:tcW w:w="2479" w:type="dxa"/>
            <w:noWrap/>
            <w:hideMark/>
          </w:tcPr>
          <w:p w14:paraId="19A45262" w14:textId="273C69DE" w:rsidR="0087786B" w:rsidRPr="0087786B" w:rsidRDefault="002437A4"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Consell insular de M</w:t>
            </w:r>
            <w:r w:rsidR="002F5DB2" w:rsidRPr="0087786B">
              <w:rPr>
                <w:rFonts w:ascii="Arial" w:eastAsiaTheme="minorHAnsi" w:hAnsi="Arial" w:cs="Arial"/>
                <w:bCs/>
                <w:lang w:eastAsia="en-US"/>
              </w:rPr>
              <w:t>allorca</w:t>
            </w:r>
          </w:p>
        </w:tc>
        <w:tc>
          <w:tcPr>
            <w:tcW w:w="3101" w:type="dxa"/>
            <w:hideMark/>
          </w:tcPr>
          <w:p w14:paraId="4FF92FED"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Mallorca Living Sustainable Hub III</w:t>
            </w:r>
          </w:p>
        </w:tc>
        <w:tc>
          <w:tcPr>
            <w:tcW w:w="1553" w:type="dxa"/>
            <w:noWrap/>
            <w:hideMark/>
          </w:tcPr>
          <w:p w14:paraId="25B06506"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8.499.121,58 €</w:t>
            </w:r>
          </w:p>
        </w:tc>
      </w:tr>
      <w:tr w:rsidR="0087786B" w:rsidRPr="0087786B" w14:paraId="37365788" w14:textId="77777777" w:rsidTr="002437A4">
        <w:trPr>
          <w:trHeight w:val="1286"/>
        </w:trPr>
        <w:tc>
          <w:tcPr>
            <w:tcW w:w="1361" w:type="dxa"/>
            <w:noWrap/>
            <w:hideMark/>
          </w:tcPr>
          <w:p w14:paraId="2612A4B3"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Baleares</w:t>
            </w:r>
          </w:p>
        </w:tc>
        <w:tc>
          <w:tcPr>
            <w:tcW w:w="2479" w:type="dxa"/>
            <w:noWrap/>
            <w:hideMark/>
          </w:tcPr>
          <w:p w14:paraId="34452033" w14:textId="77777777" w:rsidR="0087786B" w:rsidRPr="0087786B" w:rsidRDefault="0087786B" w:rsidP="002437A4">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Consell Insular de Menorca</w:t>
            </w:r>
          </w:p>
        </w:tc>
        <w:tc>
          <w:tcPr>
            <w:tcW w:w="3101" w:type="dxa"/>
            <w:hideMark/>
          </w:tcPr>
          <w:p w14:paraId="5AF10EB4" w14:textId="421ABC09" w:rsidR="0087786B" w:rsidRPr="0087786B" w:rsidRDefault="00B8477B" w:rsidP="00B8477B">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PSTD 2023 de la Isla d</w:t>
            </w:r>
            <w:r w:rsidRPr="0087786B">
              <w:rPr>
                <w:rFonts w:ascii="Arial" w:eastAsiaTheme="minorHAnsi" w:hAnsi="Arial" w:cs="Arial"/>
                <w:bCs/>
                <w:lang w:eastAsia="en-US"/>
              </w:rPr>
              <w:t>e Menorca: Transformación</w:t>
            </w:r>
            <w:r>
              <w:rPr>
                <w:rFonts w:ascii="Arial" w:eastAsiaTheme="minorHAnsi" w:hAnsi="Arial" w:cs="Arial"/>
                <w:bCs/>
                <w:lang w:eastAsia="en-US"/>
              </w:rPr>
              <w:t xml:space="preserve"> hacia Modelo socioambiental</w:t>
            </w:r>
            <w:r w:rsidR="002437A4">
              <w:rPr>
                <w:rFonts w:ascii="Arial" w:eastAsiaTheme="minorHAnsi" w:hAnsi="Arial" w:cs="Arial"/>
                <w:bCs/>
                <w:lang w:eastAsia="en-US"/>
              </w:rPr>
              <w:t>,</w:t>
            </w:r>
            <w:r>
              <w:rPr>
                <w:rFonts w:ascii="Arial" w:eastAsiaTheme="minorHAnsi" w:hAnsi="Arial" w:cs="Arial"/>
                <w:bCs/>
                <w:lang w:eastAsia="en-US"/>
              </w:rPr>
              <w:t xml:space="preserve"> integrador, conectado Y r</w:t>
            </w:r>
            <w:r w:rsidRPr="0087786B">
              <w:rPr>
                <w:rFonts w:ascii="Arial" w:eastAsiaTheme="minorHAnsi" w:hAnsi="Arial" w:cs="Arial"/>
                <w:bCs/>
                <w:lang w:eastAsia="en-US"/>
              </w:rPr>
              <w:t>esiliente</w:t>
            </w:r>
          </w:p>
        </w:tc>
        <w:tc>
          <w:tcPr>
            <w:tcW w:w="1553" w:type="dxa"/>
            <w:noWrap/>
            <w:hideMark/>
          </w:tcPr>
          <w:p w14:paraId="6CCE08D9"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4.200.000,00 €</w:t>
            </w:r>
          </w:p>
        </w:tc>
      </w:tr>
      <w:tr w:rsidR="0087786B" w:rsidRPr="0087786B" w14:paraId="2D4A8031" w14:textId="77777777" w:rsidTr="00416682">
        <w:trPr>
          <w:trHeight w:val="780"/>
        </w:trPr>
        <w:tc>
          <w:tcPr>
            <w:tcW w:w="1361" w:type="dxa"/>
            <w:noWrap/>
            <w:hideMark/>
          </w:tcPr>
          <w:p w14:paraId="3AC8C90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Baleares</w:t>
            </w:r>
          </w:p>
        </w:tc>
        <w:tc>
          <w:tcPr>
            <w:tcW w:w="2479" w:type="dxa"/>
            <w:noWrap/>
            <w:hideMark/>
          </w:tcPr>
          <w:p w14:paraId="43D61752" w14:textId="77777777" w:rsidR="0087786B" w:rsidRPr="0087786B" w:rsidRDefault="0087786B" w:rsidP="002437A4">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Mancomunitat des Raiguer</w:t>
            </w:r>
          </w:p>
        </w:tc>
        <w:tc>
          <w:tcPr>
            <w:tcW w:w="3101" w:type="dxa"/>
            <w:hideMark/>
          </w:tcPr>
          <w:p w14:paraId="07497A96" w14:textId="0A0A42A7" w:rsidR="0087786B" w:rsidRPr="0087786B" w:rsidRDefault="002437A4"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Creación</w:t>
            </w:r>
            <w:r w:rsidR="0087786B" w:rsidRPr="0087786B">
              <w:rPr>
                <w:rFonts w:ascii="Arial" w:eastAsiaTheme="minorHAnsi" w:hAnsi="Arial" w:cs="Arial"/>
                <w:bCs/>
                <w:lang w:eastAsia="en-US"/>
              </w:rPr>
              <w:t xml:space="preserve"> de rutas cicloturisticas "Cycling Raiguer, turismo y movilidad sostenible".</w:t>
            </w:r>
          </w:p>
        </w:tc>
        <w:tc>
          <w:tcPr>
            <w:tcW w:w="1553" w:type="dxa"/>
            <w:noWrap/>
            <w:hideMark/>
          </w:tcPr>
          <w:p w14:paraId="28F07F25"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653CC5C3" w14:textId="77777777" w:rsidTr="002437A4">
        <w:trPr>
          <w:trHeight w:val="849"/>
        </w:trPr>
        <w:tc>
          <w:tcPr>
            <w:tcW w:w="1361" w:type="dxa"/>
            <w:noWrap/>
            <w:hideMark/>
          </w:tcPr>
          <w:p w14:paraId="1E2491C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Islas Baleares</w:t>
            </w:r>
          </w:p>
        </w:tc>
        <w:tc>
          <w:tcPr>
            <w:tcW w:w="2479" w:type="dxa"/>
            <w:noWrap/>
            <w:hideMark/>
          </w:tcPr>
          <w:p w14:paraId="7BFA0936" w14:textId="12B6BC32" w:rsidR="0087786B" w:rsidRPr="0087786B" w:rsidRDefault="007B47E3"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Entidades Locales</w:t>
            </w:r>
            <w:bookmarkStart w:id="0" w:name="_GoBack"/>
            <w:bookmarkEnd w:id="0"/>
            <w:r w:rsidR="0087786B" w:rsidRPr="0087786B">
              <w:rPr>
                <w:rFonts w:ascii="Arial" w:eastAsiaTheme="minorHAnsi" w:hAnsi="Arial" w:cs="Arial"/>
                <w:bCs/>
                <w:lang w:eastAsia="en-US"/>
              </w:rPr>
              <w:t xml:space="preserve"> de la CA de Baleares</w:t>
            </w:r>
          </w:p>
        </w:tc>
        <w:tc>
          <w:tcPr>
            <w:tcW w:w="3101" w:type="dxa"/>
            <w:hideMark/>
          </w:tcPr>
          <w:p w14:paraId="42404F1C" w14:textId="172951DB" w:rsidR="0087786B" w:rsidRPr="0087786B" w:rsidRDefault="002437A4" w:rsidP="002437A4">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ACD C</w:t>
            </w:r>
            <w:r w:rsidRPr="0087786B">
              <w:rPr>
                <w:rFonts w:ascii="Arial" w:eastAsiaTheme="minorHAnsi" w:hAnsi="Arial" w:cs="Arial"/>
                <w:bCs/>
                <w:lang w:eastAsia="en-US"/>
              </w:rPr>
              <w:t>ircularidad como eje de competitividad sos</w:t>
            </w:r>
            <w:r>
              <w:rPr>
                <w:rFonts w:ascii="Arial" w:eastAsiaTheme="minorHAnsi" w:hAnsi="Arial" w:cs="Arial"/>
                <w:bCs/>
                <w:lang w:eastAsia="en-US"/>
              </w:rPr>
              <w:t>tenible de las islas baleares. F</w:t>
            </w:r>
            <w:r w:rsidRPr="0087786B">
              <w:rPr>
                <w:rFonts w:ascii="Arial" w:eastAsiaTheme="minorHAnsi" w:hAnsi="Arial" w:cs="Arial"/>
                <w:bCs/>
                <w:lang w:eastAsia="en-US"/>
              </w:rPr>
              <w:t xml:space="preserve">ase </w:t>
            </w:r>
            <w:r>
              <w:rPr>
                <w:rFonts w:ascii="Arial" w:eastAsiaTheme="minorHAnsi" w:hAnsi="Arial" w:cs="Arial"/>
                <w:bCs/>
                <w:lang w:eastAsia="en-US"/>
              </w:rPr>
              <w:t>II</w:t>
            </w:r>
          </w:p>
        </w:tc>
        <w:tc>
          <w:tcPr>
            <w:tcW w:w="1553" w:type="dxa"/>
            <w:noWrap/>
            <w:hideMark/>
          </w:tcPr>
          <w:p w14:paraId="3827ADA1" w14:textId="6B97AE15" w:rsidR="0087786B" w:rsidRPr="0087786B" w:rsidRDefault="0087786B" w:rsidP="002437A4">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w:t>
            </w:r>
            <w:r w:rsidR="002437A4">
              <w:rPr>
                <w:rFonts w:ascii="Arial" w:eastAsiaTheme="minorHAnsi" w:hAnsi="Arial" w:cs="Arial"/>
                <w:bCs/>
                <w:lang w:eastAsia="en-US"/>
              </w:rPr>
              <w:t>12</w:t>
            </w:r>
            <w:r w:rsidRPr="0087786B">
              <w:rPr>
                <w:rFonts w:ascii="Arial" w:eastAsiaTheme="minorHAnsi" w:hAnsi="Arial" w:cs="Arial"/>
                <w:bCs/>
                <w:lang w:eastAsia="en-US"/>
              </w:rPr>
              <w:t>.</w:t>
            </w:r>
            <w:r w:rsidR="002437A4">
              <w:rPr>
                <w:rFonts w:ascii="Arial" w:eastAsiaTheme="minorHAnsi" w:hAnsi="Arial" w:cs="Arial"/>
                <w:bCs/>
                <w:lang w:eastAsia="en-US"/>
              </w:rPr>
              <w:t>713</w:t>
            </w:r>
            <w:r w:rsidRPr="0087786B">
              <w:rPr>
                <w:rFonts w:ascii="Arial" w:eastAsiaTheme="minorHAnsi" w:hAnsi="Arial" w:cs="Arial"/>
                <w:bCs/>
                <w:lang w:eastAsia="en-US"/>
              </w:rPr>
              <w:t>,</w:t>
            </w:r>
            <w:r w:rsidR="002437A4">
              <w:rPr>
                <w:rFonts w:ascii="Arial" w:eastAsiaTheme="minorHAnsi" w:hAnsi="Arial" w:cs="Arial"/>
                <w:bCs/>
                <w:lang w:eastAsia="en-US"/>
              </w:rPr>
              <w:t>24</w:t>
            </w:r>
            <w:r w:rsidRPr="0087786B">
              <w:rPr>
                <w:rFonts w:ascii="Arial" w:eastAsiaTheme="minorHAnsi" w:hAnsi="Arial" w:cs="Arial"/>
                <w:bCs/>
                <w:lang w:eastAsia="en-US"/>
              </w:rPr>
              <w:t xml:space="preserve"> €</w:t>
            </w:r>
          </w:p>
        </w:tc>
      </w:tr>
      <w:tr w:rsidR="0087786B" w:rsidRPr="0087786B" w14:paraId="08A7FBB5" w14:textId="77777777" w:rsidTr="00416682">
        <w:trPr>
          <w:trHeight w:val="300"/>
        </w:trPr>
        <w:tc>
          <w:tcPr>
            <w:tcW w:w="1361" w:type="dxa"/>
            <w:noWrap/>
            <w:hideMark/>
          </w:tcPr>
          <w:p w14:paraId="677BC69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La Rioja</w:t>
            </w:r>
          </w:p>
        </w:tc>
        <w:tc>
          <w:tcPr>
            <w:tcW w:w="2479" w:type="dxa"/>
            <w:noWrap/>
            <w:hideMark/>
          </w:tcPr>
          <w:p w14:paraId="127E9F9F" w14:textId="24B43F7C" w:rsidR="0087786B" w:rsidRPr="0087786B" w:rsidRDefault="002437A4"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w:t>
            </w:r>
            <w:r w:rsidRPr="0087786B">
              <w:rPr>
                <w:rFonts w:ascii="Arial" w:eastAsiaTheme="minorHAnsi" w:hAnsi="Arial" w:cs="Arial"/>
                <w:bCs/>
                <w:lang w:eastAsia="en-US"/>
              </w:rPr>
              <w:t>e Haro</w:t>
            </w:r>
          </w:p>
        </w:tc>
        <w:tc>
          <w:tcPr>
            <w:tcW w:w="3101" w:type="dxa"/>
            <w:hideMark/>
          </w:tcPr>
          <w:p w14:paraId="1EBE478B" w14:textId="4E6698CA" w:rsidR="0087786B" w:rsidRPr="0087786B" w:rsidRDefault="0087786B" w:rsidP="002437A4">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H</w:t>
            </w:r>
            <w:r w:rsidR="002437A4">
              <w:rPr>
                <w:rFonts w:ascii="Arial" w:eastAsiaTheme="minorHAnsi" w:hAnsi="Arial" w:cs="Arial"/>
                <w:bCs/>
                <w:lang w:eastAsia="en-US"/>
              </w:rPr>
              <w:t>aro</w:t>
            </w:r>
            <w:r w:rsidRPr="0087786B">
              <w:rPr>
                <w:rFonts w:ascii="Arial" w:eastAsiaTheme="minorHAnsi" w:hAnsi="Arial" w:cs="Arial"/>
                <w:bCs/>
                <w:lang w:eastAsia="en-US"/>
              </w:rPr>
              <w:t xml:space="preserve"> Wine Tourism &amp; Talent</w:t>
            </w:r>
          </w:p>
        </w:tc>
        <w:tc>
          <w:tcPr>
            <w:tcW w:w="1553" w:type="dxa"/>
            <w:noWrap/>
            <w:hideMark/>
          </w:tcPr>
          <w:p w14:paraId="04CB5C7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2.405.000,00 €</w:t>
            </w:r>
          </w:p>
        </w:tc>
      </w:tr>
      <w:tr w:rsidR="0087786B" w:rsidRPr="0087786B" w14:paraId="6DC685EB" w14:textId="77777777" w:rsidTr="00416682">
        <w:trPr>
          <w:trHeight w:val="300"/>
        </w:trPr>
        <w:tc>
          <w:tcPr>
            <w:tcW w:w="1361" w:type="dxa"/>
            <w:noWrap/>
            <w:hideMark/>
          </w:tcPr>
          <w:p w14:paraId="2F700F7E"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La Rioja</w:t>
            </w:r>
          </w:p>
        </w:tc>
        <w:tc>
          <w:tcPr>
            <w:tcW w:w="2479" w:type="dxa"/>
            <w:noWrap/>
            <w:hideMark/>
          </w:tcPr>
          <w:p w14:paraId="790F2C36" w14:textId="1B73B6F4" w:rsidR="0087786B" w:rsidRPr="0087786B" w:rsidRDefault="002437A4"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Ocó</w:t>
            </w:r>
            <w:r w:rsidR="0087786B" w:rsidRPr="0087786B">
              <w:rPr>
                <w:rFonts w:ascii="Arial" w:eastAsiaTheme="minorHAnsi" w:hAnsi="Arial" w:cs="Arial"/>
                <w:bCs/>
                <w:lang w:eastAsia="en-US"/>
              </w:rPr>
              <w:t>n</w:t>
            </w:r>
          </w:p>
        </w:tc>
        <w:tc>
          <w:tcPr>
            <w:tcW w:w="3101" w:type="dxa"/>
            <w:hideMark/>
          </w:tcPr>
          <w:p w14:paraId="562012D8" w14:textId="29BB3CAA" w:rsidR="0087786B" w:rsidRPr="0087786B" w:rsidRDefault="002437A4"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Ocó</w:t>
            </w:r>
            <w:r w:rsidR="0087786B" w:rsidRPr="0087786B">
              <w:rPr>
                <w:rFonts w:ascii="Arial" w:eastAsiaTheme="minorHAnsi" w:hAnsi="Arial" w:cs="Arial"/>
                <w:bCs/>
                <w:lang w:eastAsia="en-US"/>
              </w:rPr>
              <w:t>n, paisaje humanizado</w:t>
            </w:r>
          </w:p>
        </w:tc>
        <w:tc>
          <w:tcPr>
            <w:tcW w:w="1553" w:type="dxa"/>
            <w:noWrap/>
            <w:hideMark/>
          </w:tcPr>
          <w:p w14:paraId="277FD2CB"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1.000.000,00 €</w:t>
            </w:r>
          </w:p>
        </w:tc>
      </w:tr>
      <w:tr w:rsidR="0087786B" w:rsidRPr="0087786B" w14:paraId="73A00E08" w14:textId="77777777" w:rsidTr="00416682">
        <w:trPr>
          <w:trHeight w:val="525"/>
        </w:trPr>
        <w:tc>
          <w:tcPr>
            <w:tcW w:w="1361" w:type="dxa"/>
            <w:noWrap/>
            <w:hideMark/>
          </w:tcPr>
          <w:p w14:paraId="740C6FD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La Rioja</w:t>
            </w:r>
          </w:p>
        </w:tc>
        <w:tc>
          <w:tcPr>
            <w:tcW w:w="2479" w:type="dxa"/>
            <w:noWrap/>
            <w:hideMark/>
          </w:tcPr>
          <w:p w14:paraId="1C2BABD4" w14:textId="636921FA" w:rsidR="0087786B" w:rsidRPr="0087786B" w:rsidRDefault="002437A4"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Mancomunidad Desarrollo Turístico</w:t>
            </w:r>
            <w:r>
              <w:rPr>
                <w:rFonts w:ascii="Arial" w:eastAsiaTheme="minorHAnsi" w:hAnsi="Arial" w:cs="Arial"/>
                <w:bCs/>
                <w:lang w:eastAsia="en-US"/>
              </w:rPr>
              <w:t xml:space="preserve"> Valle d</w:t>
            </w:r>
            <w:r w:rsidRPr="0087786B">
              <w:rPr>
                <w:rFonts w:ascii="Arial" w:eastAsiaTheme="minorHAnsi" w:hAnsi="Arial" w:cs="Arial"/>
                <w:bCs/>
                <w:lang w:eastAsia="en-US"/>
              </w:rPr>
              <w:t>e La Lengua</w:t>
            </w:r>
          </w:p>
        </w:tc>
        <w:tc>
          <w:tcPr>
            <w:tcW w:w="3101" w:type="dxa"/>
            <w:hideMark/>
          </w:tcPr>
          <w:p w14:paraId="526BAF5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Sostenibilidad Turistica Valle de la Lengua.</w:t>
            </w:r>
          </w:p>
        </w:tc>
        <w:tc>
          <w:tcPr>
            <w:tcW w:w="1553" w:type="dxa"/>
            <w:noWrap/>
            <w:hideMark/>
          </w:tcPr>
          <w:p w14:paraId="0831A55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3.260.000,00 €</w:t>
            </w:r>
          </w:p>
        </w:tc>
      </w:tr>
      <w:tr w:rsidR="0087786B" w:rsidRPr="0087786B" w14:paraId="019AAA71" w14:textId="77777777" w:rsidTr="00416682">
        <w:trPr>
          <w:trHeight w:val="1035"/>
        </w:trPr>
        <w:tc>
          <w:tcPr>
            <w:tcW w:w="1361" w:type="dxa"/>
            <w:noWrap/>
            <w:hideMark/>
          </w:tcPr>
          <w:p w14:paraId="5E47418A"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La Rioja</w:t>
            </w:r>
          </w:p>
        </w:tc>
        <w:tc>
          <w:tcPr>
            <w:tcW w:w="2479" w:type="dxa"/>
            <w:noWrap/>
            <w:hideMark/>
          </w:tcPr>
          <w:p w14:paraId="6EAA360E"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Municipios de la CA de La Rioja</w:t>
            </w:r>
          </w:p>
        </w:tc>
        <w:tc>
          <w:tcPr>
            <w:tcW w:w="3101" w:type="dxa"/>
            <w:hideMark/>
          </w:tcPr>
          <w:p w14:paraId="12E898A5" w14:textId="2208D8F4" w:rsidR="0087786B" w:rsidRPr="0087786B" w:rsidRDefault="00EF3064"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ACD </w:t>
            </w:r>
            <w:r w:rsidR="0087786B" w:rsidRPr="0087786B">
              <w:rPr>
                <w:rFonts w:ascii="Arial" w:eastAsiaTheme="minorHAnsi" w:hAnsi="Arial" w:cs="Arial"/>
                <w:bCs/>
                <w:lang w:eastAsia="en-US"/>
              </w:rPr>
              <w:t>Enoturismo sostenible y turismo idiomático como ejes vertebradores y elementos de cohesión de La Rioja</w:t>
            </w:r>
          </w:p>
        </w:tc>
        <w:tc>
          <w:tcPr>
            <w:tcW w:w="1553" w:type="dxa"/>
            <w:noWrap/>
            <w:hideMark/>
          </w:tcPr>
          <w:p w14:paraId="0034B89A"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6.665.000,00 €</w:t>
            </w:r>
          </w:p>
        </w:tc>
      </w:tr>
      <w:tr w:rsidR="0087786B" w:rsidRPr="0087786B" w14:paraId="19A736BB" w14:textId="77777777" w:rsidTr="00EF3064">
        <w:trPr>
          <w:trHeight w:val="545"/>
        </w:trPr>
        <w:tc>
          <w:tcPr>
            <w:tcW w:w="1361" w:type="dxa"/>
            <w:noWrap/>
            <w:hideMark/>
          </w:tcPr>
          <w:p w14:paraId="258950E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Navarra, Comunidad Foral</w:t>
            </w:r>
          </w:p>
        </w:tc>
        <w:tc>
          <w:tcPr>
            <w:tcW w:w="2479" w:type="dxa"/>
            <w:noWrap/>
            <w:hideMark/>
          </w:tcPr>
          <w:p w14:paraId="1FF150F9" w14:textId="7748688A" w:rsidR="0087786B" w:rsidRPr="0087786B" w:rsidRDefault="00EF3064" w:rsidP="00EF3064">
            <w:pPr>
              <w:tabs>
                <w:tab w:val="left" w:pos="426"/>
              </w:tabs>
              <w:spacing w:line="276" w:lineRule="auto"/>
              <w:rPr>
                <w:rFonts w:ascii="Arial" w:eastAsiaTheme="minorHAnsi" w:hAnsi="Arial" w:cs="Arial"/>
                <w:bCs/>
                <w:lang w:eastAsia="en-US"/>
              </w:rPr>
            </w:pPr>
            <w:r w:rsidRPr="0087786B">
              <w:rPr>
                <w:rFonts w:ascii="Arial" w:eastAsiaTheme="minorHAnsi" w:hAnsi="Arial" w:cs="Arial"/>
                <w:bCs/>
                <w:lang w:eastAsia="en-US"/>
              </w:rPr>
              <w:t>Asociación</w:t>
            </w:r>
            <w:r w:rsidR="0087786B" w:rsidRPr="0087786B">
              <w:rPr>
                <w:rFonts w:ascii="Arial" w:eastAsiaTheme="minorHAnsi" w:hAnsi="Arial" w:cs="Arial"/>
                <w:bCs/>
                <w:lang w:eastAsia="en-US"/>
              </w:rPr>
              <w:t xml:space="preserve"> Cederna Garalur</w:t>
            </w:r>
          </w:p>
        </w:tc>
        <w:tc>
          <w:tcPr>
            <w:tcW w:w="3101" w:type="dxa"/>
            <w:hideMark/>
          </w:tcPr>
          <w:p w14:paraId="07BC2F36" w14:textId="5BCA2AC6"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PSTD URDINA. Camino por el rio </w:t>
            </w:r>
            <w:r w:rsidR="00EF3064" w:rsidRPr="0087786B">
              <w:rPr>
                <w:rFonts w:ascii="Arial" w:eastAsiaTheme="minorHAnsi" w:hAnsi="Arial" w:cs="Arial"/>
                <w:bCs/>
                <w:lang w:eastAsia="en-US"/>
              </w:rPr>
              <w:t>Aragón</w:t>
            </w:r>
            <w:r w:rsidRPr="0087786B">
              <w:rPr>
                <w:rFonts w:ascii="Arial" w:eastAsiaTheme="minorHAnsi" w:hAnsi="Arial" w:cs="Arial"/>
                <w:bCs/>
                <w:lang w:eastAsia="en-US"/>
              </w:rPr>
              <w:t>.</w:t>
            </w:r>
          </w:p>
        </w:tc>
        <w:tc>
          <w:tcPr>
            <w:tcW w:w="1553" w:type="dxa"/>
            <w:noWrap/>
            <w:hideMark/>
          </w:tcPr>
          <w:p w14:paraId="596BDA6C"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1.330.000,00 €</w:t>
            </w:r>
          </w:p>
        </w:tc>
      </w:tr>
      <w:tr w:rsidR="0087786B" w:rsidRPr="0087786B" w14:paraId="7F4E7104" w14:textId="77777777" w:rsidTr="00416682">
        <w:trPr>
          <w:trHeight w:val="525"/>
        </w:trPr>
        <w:tc>
          <w:tcPr>
            <w:tcW w:w="1361" w:type="dxa"/>
            <w:noWrap/>
            <w:hideMark/>
          </w:tcPr>
          <w:p w14:paraId="3EEB6113"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Navarra, Comunidad Foral</w:t>
            </w:r>
          </w:p>
        </w:tc>
        <w:tc>
          <w:tcPr>
            <w:tcW w:w="2479" w:type="dxa"/>
            <w:noWrap/>
            <w:hideMark/>
          </w:tcPr>
          <w:p w14:paraId="66F7F822" w14:textId="0043C018" w:rsidR="0087786B" w:rsidRPr="0087786B" w:rsidRDefault="00EF3064" w:rsidP="00EF3064">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 xml:space="preserve">Asociacion </w:t>
            </w:r>
            <w:r w:rsidR="0087786B" w:rsidRPr="0087786B">
              <w:rPr>
                <w:rFonts w:ascii="Arial" w:eastAsiaTheme="minorHAnsi" w:hAnsi="Arial" w:cs="Arial"/>
                <w:bCs/>
                <w:lang w:eastAsia="en-US"/>
              </w:rPr>
              <w:t>Cederna Garalur</w:t>
            </w:r>
          </w:p>
        </w:tc>
        <w:tc>
          <w:tcPr>
            <w:tcW w:w="3101" w:type="dxa"/>
            <w:hideMark/>
          </w:tcPr>
          <w:p w14:paraId="51F70F3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PSTD Plazaola - Sakana - Ultzamaldea</w:t>
            </w:r>
          </w:p>
        </w:tc>
        <w:tc>
          <w:tcPr>
            <w:tcW w:w="1553" w:type="dxa"/>
            <w:noWrap/>
            <w:hideMark/>
          </w:tcPr>
          <w:p w14:paraId="0E0F62D0"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5.000.000,00 €</w:t>
            </w:r>
          </w:p>
        </w:tc>
      </w:tr>
      <w:tr w:rsidR="0087786B" w:rsidRPr="0087786B" w14:paraId="57861E84" w14:textId="77777777" w:rsidTr="00416682">
        <w:trPr>
          <w:trHeight w:val="780"/>
        </w:trPr>
        <w:tc>
          <w:tcPr>
            <w:tcW w:w="1361" w:type="dxa"/>
            <w:noWrap/>
            <w:hideMark/>
          </w:tcPr>
          <w:p w14:paraId="7F52B42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Navarra, Comunidad Foral</w:t>
            </w:r>
          </w:p>
        </w:tc>
        <w:tc>
          <w:tcPr>
            <w:tcW w:w="2479" w:type="dxa"/>
            <w:noWrap/>
            <w:hideMark/>
          </w:tcPr>
          <w:p w14:paraId="22D5B580" w14:textId="35E1F1FF" w:rsidR="0087786B" w:rsidRPr="0087786B" w:rsidRDefault="00EF3064" w:rsidP="00EF3064">
            <w:pPr>
              <w:tabs>
                <w:tab w:val="left" w:pos="426"/>
              </w:tabs>
              <w:spacing w:line="276" w:lineRule="auto"/>
              <w:rPr>
                <w:rFonts w:ascii="Arial" w:eastAsiaTheme="minorHAnsi" w:hAnsi="Arial" w:cs="Arial"/>
                <w:bCs/>
                <w:lang w:eastAsia="en-US"/>
              </w:rPr>
            </w:pPr>
            <w:r>
              <w:rPr>
                <w:rFonts w:ascii="Arial" w:eastAsiaTheme="minorHAnsi" w:hAnsi="Arial" w:cs="Arial"/>
                <w:bCs/>
                <w:lang w:eastAsia="en-US"/>
              </w:rPr>
              <w:t>C</w:t>
            </w:r>
            <w:r w:rsidRPr="0087786B">
              <w:rPr>
                <w:rFonts w:ascii="Arial" w:eastAsiaTheme="minorHAnsi" w:hAnsi="Arial" w:cs="Arial"/>
                <w:bCs/>
                <w:lang w:eastAsia="en-US"/>
              </w:rPr>
              <w:t>onsorcio para las estrategias</w:t>
            </w:r>
            <w:r>
              <w:rPr>
                <w:rFonts w:ascii="Arial" w:eastAsiaTheme="minorHAnsi" w:hAnsi="Arial" w:cs="Arial"/>
                <w:bCs/>
                <w:lang w:eastAsia="en-US"/>
              </w:rPr>
              <w:t xml:space="preserve"> de desarrollo de la ribera de Navarra (Consorcio E</w:t>
            </w:r>
            <w:r w:rsidRPr="0087786B">
              <w:rPr>
                <w:rFonts w:ascii="Arial" w:eastAsiaTheme="minorHAnsi" w:hAnsi="Arial" w:cs="Arial"/>
                <w:bCs/>
                <w:lang w:eastAsia="en-US"/>
              </w:rPr>
              <w:t>der)</w:t>
            </w:r>
          </w:p>
        </w:tc>
        <w:tc>
          <w:tcPr>
            <w:tcW w:w="3101" w:type="dxa"/>
            <w:hideMark/>
          </w:tcPr>
          <w:p w14:paraId="7BA0C30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Plan de Sostenibilidad Turistica en Destino Ribera Alta de Navarra</w:t>
            </w:r>
          </w:p>
        </w:tc>
        <w:tc>
          <w:tcPr>
            <w:tcW w:w="1553" w:type="dxa"/>
            <w:noWrap/>
            <w:hideMark/>
          </w:tcPr>
          <w:p w14:paraId="61676B24"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266A52D1" w14:textId="77777777" w:rsidTr="00416682">
        <w:trPr>
          <w:trHeight w:val="300"/>
        </w:trPr>
        <w:tc>
          <w:tcPr>
            <w:tcW w:w="1361" w:type="dxa"/>
            <w:noWrap/>
            <w:hideMark/>
          </w:tcPr>
          <w:p w14:paraId="4F4D9102"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Navarra, Comunidad Foral</w:t>
            </w:r>
          </w:p>
        </w:tc>
        <w:tc>
          <w:tcPr>
            <w:tcW w:w="2479" w:type="dxa"/>
            <w:noWrap/>
            <w:hideMark/>
          </w:tcPr>
          <w:p w14:paraId="6DC0D882"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Mancomunidad de la Comarca de Pamplona</w:t>
            </w:r>
          </w:p>
        </w:tc>
        <w:tc>
          <w:tcPr>
            <w:tcW w:w="3101" w:type="dxa"/>
            <w:hideMark/>
          </w:tcPr>
          <w:p w14:paraId="1A3EEAD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PSTD Comarca Pamplona Rural</w:t>
            </w:r>
          </w:p>
        </w:tc>
        <w:tc>
          <w:tcPr>
            <w:tcW w:w="1553" w:type="dxa"/>
            <w:noWrap/>
            <w:hideMark/>
          </w:tcPr>
          <w:p w14:paraId="7AC30381"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18701803" w14:textId="77777777" w:rsidTr="00416682">
        <w:trPr>
          <w:trHeight w:val="525"/>
        </w:trPr>
        <w:tc>
          <w:tcPr>
            <w:tcW w:w="1361" w:type="dxa"/>
            <w:noWrap/>
            <w:hideMark/>
          </w:tcPr>
          <w:p w14:paraId="57F7E59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Navarra, Comunidad Foral</w:t>
            </w:r>
          </w:p>
        </w:tc>
        <w:tc>
          <w:tcPr>
            <w:tcW w:w="2479" w:type="dxa"/>
            <w:noWrap/>
            <w:hideMark/>
          </w:tcPr>
          <w:p w14:paraId="5C2F4DC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Municipios de la CA de Navarra</w:t>
            </w:r>
          </w:p>
        </w:tc>
        <w:tc>
          <w:tcPr>
            <w:tcW w:w="3101" w:type="dxa"/>
            <w:hideMark/>
          </w:tcPr>
          <w:p w14:paraId="1DC8DF62" w14:textId="07BBDA72" w:rsidR="0087786B" w:rsidRPr="0087786B" w:rsidRDefault="00EF3064"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ACD </w:t>
            </w:r>
            <w:r w:rsidRPr="0087786B">
              <w:rPr>
                <w:rFonts w:ascii="Arial" w:eastAsiaTheme="minorHAnsi" w:hAnsi="Arial" w:cs="Arial"/>
                <w:bCs/>
                <w:lang w:eastAsia="en-US"/>
              </w:rPr>
              <w:t>Navarra Circular, Inclusiva Y Resiliente</w:t>
            </w:r>
          </w:p>
        </w:tc>
        <w:tc>
          <w:tcPr>
            <w:tcW w:w="1553" w:type="dxa"/>
            <w:noWrap/>
            <w:hideMark/>
          </w:tcPr>
          <w:p w14:paraId="3E2E7CA2"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6.871.000,00 €</w:t>
            </w:r>
          </w:p>
        </w:tc>
      </w:tr>
      <w:tr w:rsidR="0087786B" w:rsidRPr="0087786B" w14:paraId="21152EB1" w14:textId="77777777" w:rsidTr="00416682">
        <w:trPr>
          <w:trHeight w:val="300"/>
        </w:trPr>
        <w:tc>
          <w:tcPr>
            <w:tcW w:w="1361" w:type="dxa"/>
            <w:noWrap/>
            <w:hideMark/>
          </w:tcPr>
          <w:p w14:paraId="1F55F7AB"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País Vasco</w:t>
            </w:r>
          </w:p>
        </w:tc>
        <w:tc>
          <w:tcPr>
            <w:tcW w:w="2479" w:type="dxa"/>
            <w:noWrap/>
            <w:hideMark/>
          </w:tcPr>
          <w:p w14:paraId="400B270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Añana</w:t>
            </w:r>
          </w:p>
        </w:tc>
        <w:tc>
          <w:tcPr>
            <w:tcW w:w="3101" w:type="dxa"/>
            <w:hideMark/>
          </w:tcPr>
          <w:p w14:paraId="06E4EB19"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PSTD Valle salado de Añana</w:t>
            </w:r>
          </w:p>
        </w:tc>
        <w:tc>
          <w:tcPr>
            <w:tcW w:w="1553" w:type="dxa"/>
            <w:noWrap/>
            <w:hideMark/>
          </w:tcPr>
          <w:p w14:paraId="171BD05D"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1.735.000,00 €</w:t>
            </w:r>
          </w:p>
        </w:tc>
      </w:tr>
      <w:tr w:rsidR="0087786B" w:rsidRPr="0087786B" w14:paraId="29CDACBE" w14:textId="77777777" w:rsidTr="00EF3064">
        <w:trPr>
          <w:trHeight w:val="482"/>
        </w:trPr>
        <w:tc>
          <w:tcPr>
            <w:tcW w:w="1361" w:type="dxa"/>
            <w:noWrap/>
            <w:hideMark/>
          </w:tcPr>
          <w:p w14:paraId="44AD0AE7"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País Vasco</w:t>
            </w:r>
          </w:p>
        </w:tc>
        <w:tc>
          <w:tcPr>
            <w:tcW w:w="2479" w:type="dxa"/>
            <w:noWrap/>
            <w:hideMark/>
          </w:tcPr>
          <w:p w14:paraId="3D880826" w14:textId="076229C1" w:rsidR="0087786B" w:rsidRPr="0087786B" w:rsidRDefault="00EF3064"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w:t>
            </w:r>
            <w:r w:rsidR="0087786B" w:rsidRPr="0087786B">
              <w:rPr>
                <w:rFonts w:ascii="Arial" w:eastAsiaTheme="minorHAnsi" w:hAnsi="Arial" w:cs="Arial"/>
                <w:bCs/>
                <w:lang w:eastAsia="en-US"/>
              </w:rPr>
              <w:t xml:space="preserve"> Foral de </w:t>
            </w:r>
            <w:r w:rsidRPr="0087786B">
              <w:rPr>
                <w:rFonts w:ascii="Arial" w:eastAsiaTheme="minorHAnsi" w:hAnsi="Arial" w:cs="Arial"/>
                <w:bCs/>
                <w:lang w:eastAsia="en-US"/>
              </w:rPr>
              <w:t>Álava</w:t>
            </w:r>
          </w:p>
        </w:tc>
        <w:tc>
          <w:tcPr>
            <w:tcW w:w="3101" w:type="dxa"/>
            <w:hideMark/>
          </w:tcPr>
          <w:p w14:paraId="26AD778B" w14:textId="15742353" w:rsidR="0087786B" w:rsidRPr="0087786B" w:rsidRDefault="00EF3064"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w:t>
            </w:r>
            <w:r w:rsidR="0087786B" w:rsidRPr="0087786B">
              <w:rPr>
                <w:rFonts w:ascii="Arial" w:eastAsiaTheme="minorHAnsi" w:hAnsi="Arial" w:cs="Arial"/>
                <w:bCs/>
                <w:lang w:eastAsia="en-US"/>
              </w:rPr>
              <w:t xml:space="preserve"> de los Parques Naturales de </w:t>
            </w:r>
            <w:r w:rsidRPr="0087786B">
              <w:rPr>
                <w:rFonts w:ascii="Arial" w:eastAsiaTheme="minorHAnsi" w:hAnsi="Arial" w:cs="Arial"/>
                <w:bCs/>
                <w:lang w:eastAsia="en-US"/>
              </w:rPr>
              <w:t>Álava</w:t>
            </w:r>
          </w:p>
        </w:tc>
        <w:tc>
          <w:tcPr>
            <w:tcW w:w="1553" w:type="dxa"/>
            <w:noWrap/>
            <w:hideMark/>
          </w:tcPr>
          <w:p w14:paraId="67CFCBE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2.090.000,00 €</w:t>
            </w:r>
          </w:p>
        </w:tc>
      </w:tr>
      <w:tr w:rsidR="0087786B" w:rsidRPr="0087786B" w14:paraId="0B89B4F2" w14:textId="77777777" w:rsidTr="00416682">
        <w:trPr>
          <w:trHeight w:val="525"/>
        </w:trPr>
        <w:tc>
          <w:tcPr>
            <w:tcW w:w="1361" w:type="dxa"/>
            <w:noWrap/>
            <w:hideMark/>
          </w:tcPr>
          <w:p w14:paraId="5268B05E"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País Vasco</w:t>
            </w:r>
          </w:p>
        </w:tc>
        <w:tc>
          <w:tcPr>
            <w:tcW w:w="2479" w:type="dxa"/>
            <w:noWrap/>
            <w:hideMark/>
          </w:tcPr>
          <w:p w14:paraId="1542DA98" w14:textId="66D40DAA" w:rsidR="0087786B" w:rsidRPr="0087786B" w:rsidRDefault="00EF3064"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Diputación</w:t>
            </w:r>
            <w:r w:rsidR="0087786B" w:rsidRPr="0087786B">
              <w:rPr>
                <w:rFonts w:ascii="Arial" w:eastAsiaTheme="minorHAnsi" w:hAnsi="Arial" w:cs="Arial"/>
                <w:bCs/>
                <w:lang w:eastAsia="en-US"/>
              </w:rPr>
              <w:t xml:space="preserve"> Foral de </w:t>
            </w:r>
            <w:r w:rsidRPr="0087786B">
              <w:rPr>
                <w:rFonts w:ascii="Arial" w:eastAsiaTheme="minorHAnsi" w:hAnsi="Arial" w:cs="Arial"/>
                <w:bCs/>
                <w:lang w:eastAsia="en-US"/>
              </w:rPr>
              <w:t>Álava</w:t>
            </w:r>
          </w:p>
        </w:tc>
        <w:tc>
          <w:tcPr>
            <w:tcW w:w="3101" w:type="dxa"/>
            <w:hideMark/>
          </w:tcPr>
          <w:p w14:paraId="40C8C7E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Playas y entorno natural del embalse de Ullibarri-Gamboa</w:t>
            </w:r>
          </w:p>
        </w:tc>
        <w:tc>
          <w:tcPr>
            <w:tcW w:w="1553" w:type="dxa"/>
            <w:noWrap/>
            <w:hideMark/>
          </w:tcPr>
          <w:p w14:paraId="71A96B6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61EB7918" w14:textId="77777777" w:rsidTr="00416682">
        <w:trPr>
          <w:trHeight w:val="300"/>
        </w:trPr>
        <w:tc>
          <w:tcPr>
            <w:tcW w:w="1361" w:type="dxa"/>
            <w:noWrap/>
            <w:hideMark/>
          </w:tcPr>
          <w:p w14:paraId="3CEF64AE"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País Vasco</w:t>
            </w:r>
          </w:p>
        </w:tc>
        <w:tc>
          <w:tcPr>
            <w:tcW w:w="2479" w:type="dxa"/>
            <w:noWrap/>
            <w:hideMark/>
          </w:tcPr>
          <w:p w14:paraId="46F64CF7" w14:textId="38B1A995" w:rsidR="0087786B" w:rsidRPr="0087786B" w:rsidRDefault="00EF3064"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Asociación de desarrollo rural </w:t>
            </w:r>
            <w:r>
              <w:rPr>
                <w:rFonts w:ascii="Arial" w:eastAsiaTheme="minorHAnsi" w:hAnsi="Arial" w:cs="Arial"/>
                <w:bCs/>
                <w:lang w:eastAsia="en-US"/>
              </w:rPr>
              <w:t>G</w:t>
            </w:r>
            <w:r w:rsidRPr="0087786B">
              <w:rPr>
                <w:rFonts w:ascii="Arial" w:eastAsiaTheme="minorHAnsi" w:hAnsi="Arial" w:cs="Arial"/>
                <w:bCs/>
                <w:lang w:eastAsia="en-US"/>
              </w:rPr>
              <w:t>orbeialde</w:t>
            </w:r>
          </w:p>
        </w:tc>
        <w:tc>
          <w:tcPr>
            <w:tcW w:w="3101" w:type="dxa"/>
            <w:hideMark/>
          </w:tcPr>
          <w:p w14:paraId="71F36CD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PSTD Gorbeia</w:t>
            </w:r>
          </w:p>
        </w:tc>
        <w:tc>
          <w:tcPr>
            <w:tcW w:w="1553" w:type="dxa"/>
            <w:noWrap/>
            <w:hideMark/>
          </w:tcPr>
          <w:p w14:paraId="22A2FDB3"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1.655.000,00 €</w:t>
            </w:r>
          </w:p>
        </w:tc>
      </w:tr>
      <w:tr w:rsidR="0087786B" w:rsidRPr="0087786B" w14:paraId="28045F75" w14:textId="77777777" w:rsidTr="00EF3064">
        <w:trPr>
          <w:trHeight w:val="1129"/>
        </w:trPr>
        <w:tc>
          <w:tcPr>
            <w:tcW w:w="1361" w:type="dxa"/>
            <w:noWrap/>
            <w:hideMark/>
          </w:tcPr>
          <w:p w14:paraId="219168F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País Vasco</w:t>
            </w:r>
          </w:p>
        </w:tc>
        <w:tc>
          <w:tcPr>
            <w:tcW w:w="2479" w:type="dxa"/>
            <w:noWrap/>
            <w:hideMark/>
          </w:tcPr>
          <w:p w14:paraId="62754829" w14:textId="79DCF329" w:rsidR="0087786B" w:rsidRPr="0087786B" w:rsidRDefault="00EF3064"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B</w:t>
            </w:r>
            <w:r w:rsidRPr="0087786B">
              <w:rPr>
                <w:rFonts w:ascii="Arial" w:eastAsiaTheme="minorHAnsi" w:hAnsi="Arial" w:cs="Arial"/>
                <w:bCs/>
                <w:lang w:eastAsia="en-US"/>
              </w:rPr>
              <w:t>ermeo</w:t>
            </w:r>
          </w:p>
        </w:tc>
        <w:tc>
          <w:tcPr>
            <w:tcW w:w="3101" w:type="dxa"/>
            <w:hideMark/>
          </w:tcPr>
          <w:p w14:paraId="485E4B13" w14:textId="1715BF71" w:rsidR="0087786B" w:rsidRPr="0087786B" w:rsidRDefault="00EF3064"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Bermeo, destino ecoturistico: conservación y puesta en valor de su patrimonio natural y cultural.</w:t>
            </w:r>
          </w:p>
        </w:tc>
        <w:tc>
          <w:tcPr>
            <w:tcW w:w="1553" w:type="dxa"/>
            <w:noWrap/>
            <w:hideMark/>
          </w:tcPr>
          <w:p w14:paraId="6472ED3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2.270.000,00 €</w:t>
            </w:r>
          </w:p>
        </w:tc>
      </w:tr>
      <w:tr w:rsidR="0087786B" w:rsidRPr="0087786B" w14:paraId="0652DA68" w14:textId="77777777" w:rsidTr="00416682">
        <w:trPr>
          <w:trHeight w:val="780"/>
        </w:trPr>
        <w:tc>
          <w:tcPr>
            <w:tcW w:w="1361" w:type="dxa"/>
            <w:noWrap/>
            <w:hideMark/>
          </w:tcPr>
          <w:p w14:paraId="4ACECF9D"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País Vasco</w:t>
            </w:r>
          </w:p>
        </w:tc>
        <w:tc>
          <w:tcPr>
            <w:tcW w:w="2479" w:type="dxa"/>
            <w:noWrap/>
            <w:hideMark/>
          </w:tcPr>
          <w:p w14:paraId="7AFF9824" w14:textId="6ACB6436" w:rsidR="0087786B" w:rsidRPr="0087786B" w:rsidRDefault="00EF3064"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S</w:t>
            </w:r>
            <w:r w:rsidRPr="0087786B">
              <w:rPr>
                <w:rFonts w:ascii="Arial" w:eastAsiaTheme="minorHAnsi" w:hAnsi="Arial" w:cs="Arial"/>
                <w:bCs/>
                <w:lang w:eastAsia="en-US"/>
              </w:rPr>
              <w:t>estao</w:t>
            </w:r>
          </w:p>
        </w:tc>
        <w:tc>
          <w:tcPr>
            <w:tcW w:w="3101" w:type="dxa"/>
            <w:hideMark/>
          </w:tcPr>
          <w:p w14:paraId="3A7CA2AD" w14:textId="0BAE1319" w:rsidR="0087786B" w:rsidRPr="0087786B" w:rsidRDefault="00EF3064"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Consolidación</w:t>
            </w:r>
            <w:r w:rsidR="0087786B" w:rsidRPr="0087786B">
              <w:rPr>
                <w:rFonts w:ascii="Arial" w:eastAsiaTheme="minorHAnsi" w:hAnsi="Arial" w:cs="Arial"/>
                <w:bCs/>
                <w:lang w:eastAsia="en-US"/>
              </w:rPr>
              <w:t xml:space="preserve"> de Sestao como Hub de </w:t>
            </w:r>
            <w:r w:rsidRPr="0087786B">
              <w:rPr>
                <w:rFonts w:ascii="Arial" w:eastAsiaTheme="minorHAnsi" w:hAnsi="Arial" w:cs="Arial"/>
                <w:bCs/>
                <w:lang w:eastAsia="en-US"/>
              </w:rPr>
              <w:t>innovación</w:t>
            </w:r>
            <w:r w:rsidR="0087786B" w:rsidRPr="0087786B">
              <w:rPr>
                <w:rFonts w:ascii="Arial" w:eastAsiaTheme="minorHAnsi" w:hAnsi="Arial" w:cs="Arial"/>
                <w:bCs/>
                <w:lang w:eastAsia="en-US"/>
              </w:rPr>
              <w:t xml:space="preserve"> en Turismo Industrial</w:t>
            </w:r>
          </w:p>
        </w:tc>
        <w:tc>
          <w:tcPr>
            <w:tcW w:w="1553" w:type="dxa"/>
            <w:noWrap/>
            <w:hideMark/>
          </w:tcPr>
          <w:p w14:paraId="5A799B97"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2.160.000,00 €</w:t>
            </w:r>
          </w:p>
        </w:tc>
      </w:tr>
      <w:tr w:rsidR="0087786B" w:rsidRPr="0087786B" w14:paraId="5E328ECD" w14:textId="77777777" w:rsidTr="00EF3064">
        <w:trPr>
          <w:trHeight w:val="1312"/>
        </w:trPr>
        <w:tc>
          <w:tcPr>
            <w:tcW w:w="1361" w:type="dxa"/>
            <w:noWrap/>
            <w:hideMark/>
          </w:tcPr>
          <w:p w14:paraId="3391867F"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País Vasco</w:t>
            </w:r>
          </w:p>
        </w:tc>
        <w:tc>
          <w:tcPr>
            <w:tcW w:w="2479" w:type="dxa"/>
            <w:noWrap/>
            <w:hideMark/>
          </w:tcPr>
          <w:p w14:paraId="70E1913F" w14:textId="6BA77DBF" w:rsidR="0087786B" w:rsidRPr="0087786B" w:rsidRDefault="00EF3064"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Turismo Encartaciones "E</w:t>
            </w:r>
            <w:r w:rsidRPr="0087786B">
              <w:rPr>
                <w:rFonts w:ascii="Arial" w:eastAsiaTheme="minorHAnsi" w:hAnsi="Arial" w:cs="Arial"/>
                <w:bCs/>
                <w:lang w:eastAsia="en-US"/>
              </w:rPr>
              <w:t>nkartur"</w:t>
            </w:r>
          </w:p>
        </w:tc>
        <w:tc>
          <w:tcPr>
            <w:tcW w:w="3101" w:type="dxa"/>
            <w:hideMark/>
          </w:tcPr>
          <w:p w14:paraId="188E194C" w14:textId="558EFBEC" w:rsidR="0087786B" w:rsidRPr="0087786B" w:rsidRDefault="00EF3064"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El origen. Montañahierro y mar: consolidacion de enkarterri-meatzaldea como destino de turismo industrial gracias a su rico paisaje natural y cultural</w:t>
            </w:r>
          </w:p>
        </w:tc>
        <w:tc>
          <w:tcPr>
            <w:tcW w:w="1553" w:type="dxa"/>
            <w:noWrap/>
            <w:hideMark/>
          </w:tcPr>
          <w:p w14:paraId="1E6D3262"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1.560.000,00 €</w:t>
            </w:r>
          </w:p>
        </w:tc>
      </w:tr>
      <w:tr w:rsidR="0087786B" w:rsidRPr="0087786B" w14:paraId="2A8B435F" w14:textId="77777777" w:rsidTr="00416682">
        <w:trPr>
          <w:trHeight w:val="1290"/>
        </w:trPr>
        <w:tc>
          <w:tcPr>
            <w:tcW w:w="1361" w:type="dxa"/>
            <w:noWrap/>
            <w:hideMark/>
          </w:tcPr>
          <w:p w14:paraId="549D26F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País Vasco</w:t>
            </w:r>
          </w:p>
        </w:tc>
        <w:tc>
          <w:tcPr>
            <w:tcW w:w="2479" w:type="dxa"/>
            <w:noWrap/>
            <w:hideMark/>
          </w:tcPr>
          <w:p w14:paraId="2BEC9910" w14:textId="45AC84FB" w:rsidR="0087786B" w:rsidRPr="0087786B" w:rsidRDefault="00EF3064" w:rsidP="00EF3064">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Ayuntamiento de </w:t>
            </w:r>
            <w:r>
              <w:rPr>
                <w:rFonts w:ascii="Arial" w:eastAsiaTheme="minorHAnsi" w:hAnsi="Arial" w:cs="Arial"/>
                <w:bCs/>
                <w:lang w:eastAsia="en-US"/>
              </w:rPr>
              <w:t>Irú</w:t>
            </w:r>
            <w:r w:rsidRPr="0087786B">
              <w:rPr>
                <w:rFonts w:ascii="Arial" w:eastAsiaTheme="minorHAnsi" w:hAnsi="Arial" w:cs="Arial"/>
                <w:bCs/>
                <w:lang w:eastAsia="en-US"/>
              </w:rPr>
              <w:t>n</w:t>
            </w:r>
          </w:p>
        </w:tc>
        <w:tc>
          <w:tcPr>
            <w:tcW w:w="3101" w:type="dxa"/>
            <w:hideMark/>
          </w:tcPr>
          <w:p w14:paraId="2EB8D1A8" w14:textId="0495DCB7" w:rsidR="0087786B" w:rsidRPr="0087786B" w:rsidRDefault="00EF3064"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Revalorización</w:t>
            </w:r>
            <w:r w:rsidR="0087786B" w:rsidRPr="0087786B">
              <w:rPr>
                <w:rFonts w:ascii="Arial" w:eastAsiaTheme="minorHAnsi" w:hAnsi="Arial" w:cs="Arial"/>
                <w:bCs/>
                <w:lang w:eastAsia="en-US"/>
              </w:rPr>
              <w:t xml:space="preserve"> del patrimonio industrial, minero y cultural de la zona de Irugurutzeta a </w:t>
            </w:r>
            <w:r w:rsidRPr="0087786B">
              <w:rPr>
                <w:rFonts w:ascii="Arial" w:eastAsiaTheme="minorHAnsi" w:hAnsi="Arial" w:cs="Arial"/>
                <w:bCs/>
                <w:lang w:eastAsia="en-US"/>
              </w:rPr>
              <w:t>través</w:t>
            </w:r>
            <w:r w:rsidR="0087786B" w:rsidRPr="0087786B">
              <w:rPr>
                <w:rFonts w:ascii="Arial" w:eastAsiaTheme="minorHAnsi" w:hAnsi="Arial" w:cs="Arial"/>
                <w:bCs/>
                <w:lang w:eastAsia="en-US"/>
              </w:rPr>
              <w:t xml:space="preserve"> de la </w:t>
            </w:r>
            <w:r w:rsidRPr="0087786B">
              <w:rPr>
                <w:rFonts w:ascii="Arial" w:eastAsiaTheme="minorHAnsi" w:hAnsi="Arial" w:cs="Arial"/>
                <w:bCs/>
                <w:lang w:eastAsia="en-US"/>
              </w:rPr>
              <w:t>recuperación</w:t>
            </w:r>
            <w:r w:rsidR="0087786B" w:rsidRPr="0087786B">
              <w:rPr>
                <w:rFonts w:ascii="Arial" w:eastAsiaTheme="minorHAnsi" w:hAnsi="Arial" w:cs="Arial"/>
                <w:bCs/>
                <w:lang w:eastAsia="en-US"/>
              </w:rPr>
              <w:t xml:space="preserve"> del legado monumental </w:t>
            </w:r>
            <w:r w:rsidRPr="0087786B">
              <w:rPr>
                <w:rFonts w:ascii="Arial" w:eastAsiaTheme="minorHAnsi" w:hAnsi="Arial" w:cs="Arial"/>
                <w:bCs/>
                <w:lang w:eastAsia="en-US"/>
              </w:rPr>
              <w:t>histórico</w:t>
            </w:r>
            <w:r w:rsidR="0087786B" w:rsidRPr="0087786B">
              <w:rPr>
                <w:rFonts w:ascii="Arial" w:eastAsiaTheme="minorHAnsi" w:hAnsi="Arial" w:cs="Arial"/>
                <w:bCs/>
                <w:lang w:eastAsia="en-US"/>
              </w:rPr>
              <w:t>.</w:t>
            </w:r>
          </w:p>
        </w:tc>
        <w:tc>
          <w:tcPr>
            <w:tcW w:w="1553" w:type="dxa"/>
            <w:noWrap/>
            <w:hideMark/>
          </w:tcPr>
          <w:p w14:paraId="034FE184"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2.000.000,00 €</w:t>
            </w:r>
          </w:p>
        </w:tc>
      </w:tr>
      <w:tr w:rsidR="0087786B" w:rsidRPr="0087786B" w14:paraId="054A516F" w14:textId="77777777" w:rsidTr="00416682">
        <w:trPr>
          <w:trHeight w:val="300"/>
        </w:trPr>
        <w:tc>
          <w:tcPr>
            <w:tcW w:w="1361" w:type="dxa"/>
            <w:noWrap/>
            <w:hideMark/>
          </w:tcPr>
          <w:p w14:paraId="3BA452C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País Vasco</w:t>
            </w:r>
          </w:p>
        </w:tc>
        <w:tc>
          <w:tcPr>
            <w:tcW w:w="2479" w:type="dxa"/>
            <w:noWrap/>
            <w:hideMark/>
          </w:tcPr>
          <w:p w14:paraId="2A078C48"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Ayuntamiento de Oñati</w:t>
            </w:r>
          </w:p>
        </w:tc>
        <w:tc>
          <w:tcPr>
            <w:tcW w:w="3101" w:type="dxa"/>
            <w:hideMark/>
          </w:tcPr>
          <w:p w14:paraId="7E9D7BA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PSTD de Oñati</w:t>
            </w:r>
          </w:p>
        </w:tc>
        <w:tc>
          <w:tcPr>
            <w:tcW w:w="1553" w:type="dxa"/>
            <w:noWrap/>
            <w:hideMark/>
          </w:tcPr>
          <w:p w14:paraId="7A9D72CE"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2.160.000,00 €</w:t>
            </w:r>
          </w:p>
        </w:tc>
      </w:tr>
      <w:tr w:rsidR="0087786B" w:rsidRPr="0087786B" w14:paraId="32EF0827" w14:textId="77777777" w:rsidTr="00416682">
        <w:trPr>
          <w:trHeight w:val="525"/>
        </w:trPr>
        <w:tc>
          <w:tcPr>
            <w:tcW w:w="1361" w:type="dxa"/>
            <w:noWrap/>
            <w:hideMark/>
          </w:tcPr>
          <w:p w14:paraId="0F22C7E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País Vasco</w:t>
            </w:r>
          </w:p>
        </w:tc>
        <w:tc>
          <w:tcPr>
            <w:tcW w:w="2479" w:type="dxa"/>
            <w:noWrap/>
            <w:hideMark/>
          </w:tcPr>
          <w:p w14:paraId="445B7B5A"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DEBEGESA, Agencia de Desarrollo comarcal de Debabarrena</w:t>
            </w:r>
          </w:p>
        </w:tc>
        <w:tc>
          <w:tcPr>
            <w:tcW w:w="3101" w:type="dxa"/>
            <w:hideMark/>
          </w:tcPr>
          <w:p w14:paraId="0497F966"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PSTD del Geoparque UNESCO de la Costa Vasca</w:t>
            </w:r>
          </w:p>
        </w:tc>
        <w:tc>
          <w:tcPr>
            <w:tcW w:w="1553" w:type="dxa"/>
            <w:noWrap/>
            <w:hideMark/>
          </w:tcPr>
          <w:p w14:paraId="55477F64"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1.820.000,00 €</w:t>
            </w:r>
          </w:p>
        </w:tc>
      </w:tr>
      <w:tr w:rsidR="0087786B" w:rsidRPr="0087786B" w14:paraId="59B27B2D" w14:textId="77777777" w:rsidTr="00416682">
        <w:trPr>
          <w:trHeight w:val="525"/>
        </w:trPr>
        <w:tc>
          <w:tcPr>
            <w:tcW w:w="1361" w:type="dxa"/>
            <w:noWrap/>
            <w:hideMark/>
          </w:tcPr>
          <w:p w14:paraId="17189E6E"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Región de Murcia</w:t>
            </w:r>
          </w:p>
        </w:tc>
        <w:tc>
          <w:tcPr>
            <w:tcW w:w="2479" w:type="dxa"/>
            <w:noWrap/>
            <w:hideMark/>
          </w:tcPr>
          <w:p w14:paraId="2682A8C5" w14:textId="27C3C008" w:rsidR="0087786B" w:rsidRPr="0087786B" w:rsidRDefault="00EF3064"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Á</w:t>
            </w:r>
            <w:r w:rsidRPr="0087786B">
              <w:rPr>
                <w:rFonts w:ascii="Arial" w:eastAsiaTheme="minorHAnsi" w:hAnsi="Arial" w:cs="Arial"/>
                <w:bCs/>
                <w:lang w:eastAsia="en-US"/>
              </w:rPr>
              <w:t>guilas</w:t>
            </w:r>
          </w:p>
        </w:tc>
        <w:tc>
          <w:tcPr>
            <w:tcW w:w="3101" w:type="dxa"/>
            <w:hideMark/>
          </w:tcPr>
          <w:p w14:paraId="7D9159FD" w14:textId="71DB7E0E"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Plan de Sostenibilidad Turistica de </w:t>
            </w:r>
            <w:r w:rsidR="00EF3064" w:rsidRPr="0087786B">
              <w:rPr>
                <w:rFonts w:ascii="Arial" w:eastAsiaTheme="minorHAnsi" w:hAnsi="Arial" w:cs="Arial"/>
                <w:bCs/>
                <w:lang w:eastAsia="en-US"/>
              </w:rPr>
              <w:t>Águilas</w:t>
            </w:r>
          </w:p>
        </w:tc>
        <w:tc>
          <w:tcPr>
            <w:tcW w:w="1553" w:type="dxa"/>
            <w:noWrap/>
            <w:hideMark/>
          </w:tcPr>
          <w:p w14:paraId="4C36499A"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3.200.000,00 €</w:t>
            </w:r>
          </w:p>
        </w:tc>
      </w:tr>
      <w:tr w:rsidR="0087786B" w:rsidRPr="0087786B" w14:paraId="2E371AAF" w14:textId="77777777" w:rsidTr="00416682">
        <w:trPr>
          <w:trHeight w:val="525"/>
        </w:trPr>
        <w:tc>
          <w:tcPr>
            <w:tcW w:w="1361" w:type="dxa"/>
            <w:noWrap/>
            <w:hideMark/>
          </w:tcPr>
          <w:p w14:paraId="2F2C4C35"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Región de Murcia</w:t>
            </w:r>
          </w:p>
        </w:tc>
        <w:tc>
          <w:tcPr>
            <w:tcW w:w="2479" w:type="dxa"/>
            <w:noWrap/>
            <w:hideMark/>
          </w:tcPr>
          <w:p w14:paraId="51746572" w14:textId="18F4999C" w:rsidR="0087786B" w:rsidRPr="0087786B" w:rsidRDefault="00EF3064"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Ayuntamiento de A</w:t>
            </w:r>
            <w:r w:rsidRPr="0087786B">
              <w:rPr>
                <w:rFonts w:ascii="Arial" w:eastAsiaTheme="minorHAnsi" w:hAnsi="Arial" w:cs="Arial"/>
                <w:bCs/>
                <w:lang w:eastAsia="en-US"/>
              </w:rPr>
              <w:t>rchena</w:t>
            </w:r>
          </w:p>
        </w:tc>
        <w:tc>
          <w:tcPr>
            <w:tcW w:w="3101" w:type="dxa"/>
            <w:hideMark/>
          </w:tcPr>
          <w:p w14:paraId="7964983C" w14:textId="1C846311" w:rsidR="0087786B" w:rsidRPr="0087786B" w:rsidRDefault="00605E50"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PSTD Archena. T</w:t>
            </w:r>
            <w:r w:rsidR="0087786B" w:rsidRPr="0087786B">
              <w:rPr>
                <w:rFonts w:ascii="Arial" w:eastAsiaTheme="minorHAnsi" w:hAnsi="Arial" w:cs="Arial"/>
                <w:bCs/>
                <w:lang w:eastAsia="en-US"/>
              </w:rPr>
              <w:t xml:space="preserve">u </w:t>
            </w:r>
            <w:r w:rsidRPr="0087786B">
              <w:rPr>
                <w:rFonts w:ascii="Arial" w:eastAsiaTheme="minorHAnsi" w:hAnsi="Arial" w:cs="Arial"/>
                <w:bCs/>
                <w:lang w:eastAsia="en-US"/>
              </w:rPr>
              <w:t>paraíso</w:t>
            </w:r>
            <w:r w:rsidR="0087786B" w:rsidRPr="0087786B">
              <w:rPr>
                <w:rFonts w:ascii="Arial" w:eastAsiaTheme="minorHAnsi" w:hAnsi="Arial" w:cs="Arial"/>
                <w:bCs/>
                <w:lang w:eastAsia="en-US"/>
              </w:rPr>
              <w:t xml:space="preserve"> de salud y vida</w:t>
            </w:r>
          </w:p>
        </w:tc>
        <w:tc>
          <w:tcPr>
            <w:tcW w:w="1553" w:type="dxa"/>
            <w:noWrap/>
            <w:hideMark/>
          </w:tcPr>
          <w:p w14:paraId="23311D20"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3.200.000,00 €</w:t>
            </w:r>
          </w:p>
        </w:tc>
      </w:tr>
      <w:tr w:rsidR="0087786B" w:rsidRPr="0087786B" w14:paraId="4EFE5DDF" w14:textId="77777777" w:rsidTr="00605E50">
        <w:trPr>
          <w:trHeight w:val="1253"/>
        </w:trPr>
        <w:tc>
          <w:tcPr>
            <w:tcW w:w="1361" w:type="dxa"/>
            <w:noWrap/>
            <w:hideMark/>
          </w:tcPr>
          <w:p w14:paraId="13077F0C"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Región de Murcia</w:t>
            </w:r>
          </w:p>
        </w:tc>
        <w:tc>
          <w:tcPr>
            <w:tcW w:w="2479" w:type="dxa"/>
            <w:noWrap/>
            <w:hideMark/>
          </w:tcPr>
          <w:p w14:paraId="21A1B02D" w14:textId="39662765" w:rsidR="0087786B" w:rsidRPr="0087786B" w:rsidRDefault="00EF3064"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Ayun</w:t>
            </w:r>
            <w:r w:rsidR="00605E50">
              <w:rPr>
                <w:rFonts w:ascii="Arial" w:eastAsiaTheme="minorHAnsi" w:hAnsi="Arial" w:cs="Arial"/>
                <w:bCs/>
                <w:lang w:eastAsia="en-US"/>
              </w:rPr>
              <w:t>tamiento de San Pedro del P</w:t>
            </w:r>
            <w:r w:rsidRPr="0087786B">
              <w:rPr>
                <w:rFonts w:ascii="Arial" w:eastAsiaTheme="minorHAnsi" w:hAnsi="Arial" w:cs="Arial"/>
                <w:bCs/>
                <w:lang w:eastAsia="en-US"/>
              </w:rPr>
              <w:t>inatar</w:t>
            </w:r>
          </w:p>
        </w:tc>
        <w:tc>
          <w:tcPr>
            <w:tcW w:w="3101" w:type="dxa"/>
            <w:hideMark/>
          </w:tcPr>
          <w:p w14:paraId="52F06665" w14:textId="56FACD39" w:rsidR="0087786B" w:rsidRPr="0087786B" w:rsidRDefault="00605E50"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La sostenibilidad </w:t>
            </w:r>
            <w:r>
              <w:rPr>
                <w:rFonts w:ascii="Arial" w:eastAsiaTheme="minorHAnsi" w:hAnsi="Arial" w:cs="Arial"/>
                <w:bCs/>
                <w:lang w:eastAsia="en-US"/>
              </w:rPr>
              <w:t>t</w:t>
            </w:r>
            <w:r w:rsidRPr="0087786B">
              <w:rPr>
                <w:rFonts w:ascii="Arial" w:eastAsiaTheme="minorHAnsi" w:hAnsi="Arial" w:cs="Arial"/>
                <w:bCs/>
                <w:lang w:eastAsia="en-US"/>
              </w:rPr>
              <w:t>uristica  se apoya en el conocimiento de la oferta y la gestión coordinada del medio natural en que se desarrolla.</w:t>
            </w:r>
          </w:p>
        </w:tc>
        <w:tc>
          <w:tcPr>
            <w:tcW w:w="1553" w:type="dxa"/>
            <w:noWrap/>
            <w:hideMark/>
          </w:tcPr>
          <w:p w14:paraId="6B95056F"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2.918.626,50 €</w:t>
            </w:r>
          </w:p>
        </w:tc>
      </w:tr>
      <w:tr w:rsidR="0087786B" w:rsidRPr="0087786B" w14:paraId="7A5633C2" w14:textId="77777777" w:rsidTr="00416682">
        <w:trPr>
          <w:trHeight w:val="780"/>
        </w:trPr>
        <w:tc>
          <w:tcPr>
            <w:tcW w:w="1361" w:type="dxa"/>
            <w:noWrap/>
            <w:hideMark/>
          </w:tcPr>
          <w:p w14:paraId="0F64193E"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Región de Murcia</w:t>
            </w:r>
          </w:p>
        </w:tc>
        <w:tc>
          <w:tcPr>
            <w:tcW w:w="2479" w:type="dxa"/>
            <w:noWrap/>
            <w:hideMark/>
          </w:tcPr>
          <w:p w14:paraId="0E292237" w14:textId="536C5BFF" w:rsidR="0087786B" w:rsidRPr="0087786B" w:rsidRDefault="00EF3064"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Mancomunid</w:t>
            </w:r>
            <w:r w:rsidR="00605E50">
              <w:rPr>
                <w:rFonts w:ascii="Arial" w:eastAsiaTheme="minorHAnsi" w:hAnsi="Arial" w:cs="Arial"/>
                <w:bCs/>
                <w:lang w:eastAsia="en-US"/>
              </w:rPr>
              <w:t>ad de servicios turísticos del N</w:t>
            </w:r>
            <w:r w:rsidRPr="0087786B">
              <w:rPr>
                <w:rFonts w:ascii="Arial" w:eastAsiaTheme="minorHAnsi" w:hAnsi="Arial" w:cs="Arial"/>
                <w:bCs/>
                <w:lang w:eastAsia="en-US"/>
              </w:rPr>
              <w:t>oroeste</w:t>
            </w:r>
          </w:p>
        </w:tc>
        <w:tc>
          <w:tcPr>
            <w:tcW w:w="3101" w:type="dxa"/>
            <w:hideMark/>
          </w:tcPr>
          <w:p w14:paraId="5B123E6B" w14:textId="30BFE0AA"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 xml:space="preserve">El Noroeste de la </w:t>
            </w:r>
            <w:r w:rsidR="00605E50" w:rsidRPr="0087786B">
              <w:rPr>
                <w:rFonts w:ascii="Arial" w:eastAsiaTheme="minorHAnsi" w:hAnsi="Arial" w:cs="Arial"/>
                <w:bCs/>
                <w:lang w:eastAsia="en-US"/>
              </w:rPr>
              <w:t>Región</w:t>
            </w:r>
            <w:r w:rsidRPr="0087786B">
              <w:rPr>
                <w:rFonts w:ascii="Arial" w:eastAsiaTheme="minorHAnsi" w:hAnsi="Arial" w:cs="Arial"/>
                <w:bCs/>
                <w:lang w:eastAsia="en-US"/>
              </w:rPr>
              <w:t xml:space="preserve"> de Murcia, </w:t>
            </w:r>
            <w:r w:rsidR="00605E50" w:rsidRPr="0087786B">
              <w:rPr>
                <w:rFonts w:ascii="Arial" w:eastAsiaTheme="minorHAnsi" w:hAnsi="Arial" w:cs="Arial"/>
                <w:bCs/>
                <w:lang w:eastAsia="en-US"/>
              </w:rPr>
              <w:t>tradición</w:t>
            </w:r>
            <w:r w:rsidRPr="0087786B">
              <w:rPr>
                <w:rFonts w:ascii="Arial" w:eastAsiaTheme="minorHAnsi" w:hAnsi="Arial" w:cs="Arial"/>
                <w:bCs/>
                <w:lang w:eastAsia="en-US"/>
              </w:rPr>
              <w:t>, sabor y naturaleza</w:t>
            </w:r>
          </w:p>
        </w:tc>
        <w:tc>
          <w:tcPr>
            <w:tcW w:w="1553" w:type="dxa"/>
            <w:noWrap/>
            <w:hideMark/>
          </w:tcPr>
          <w:p w14:paraId="65F16FAD"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3.008.666,00 €</w:t>
            </w:r>
          </w:p>
        </w:tc>
      </w:tr>
      <w:tr w:rsidR="0087786B" w:rsidRPr="0087786B" w14:paraId="71305087" w14:textId="77777777" w:rsidTr="00416682">
        <w:trPr>
          <w:trHeight w:val="525"/>
        </w:trPr>
        <w:tc>
          <w:tcPr>
            <w:tcW w:w="1361" w:type="dxa"/>
            <w:noWrap/>
            <w:hideMark/>
          </w:tcPr>
          <w:p w14:paraId="580C999A"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Región de Murcia</w:t>
            </w:r>
          </w:p>
        </w:tc>
        <w:tc>
          <w:tcPr>
            <w:tcW w:w="2479" w:type="dxa"/>
            <w:noWrap/>
            <w:hideMark/>
          </w:tcPr>
          <w:p w14:paraId="766D9A29"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Municipios de la CA de la Región de Murcia</w:t>
            </w:r>
          </w:p>
        </w:tc>
        <w:tc>
          <w:tcPr>
            <w:tcW w:w="3101" w:type="dxa"/>
            <w:hideMark/>
          </w:tcPr>
          <w:p w14:paraId="65C00257" w14:textId="35B1050B" w:rsidR="0087786B" w:rsidRPr="0087786B" w:rsidRDefault="00605E50"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ACD </w:t>
            </w:r>
            <w:r w:rsidRPr="0087786B">
              <w:rPr>
                <w:rFonts w:ascii="Arial" w:eastAsiaTheme="minorHAnsi" w:hAnsi="Arial" w:cs="Arial"/>
                <w:bCs/>
                <w:lang w:eastAsia="en-US"/>
              </w:rPr>
              <w:t xml:space="preserve">Turismo Azul </w:t>
            </w:r>
            <w:r w:rsidR="0087786B" w:rsidRPr="0087786B">
              <w:rPr>
                <w:rFonts w:ascii="Arial" w:eastAsiaTheme="minorHAnsi" w:hAnsi="Arial" w:cs="Arial"/>
                <w:bCs/>
                <w:lang w:eastAsia="en-US"/>
              </w:rPr>
              <w:t>del destino de la Región de Murcia 2023</w:t>
            </w:r>
          </w:p>
        </w:tc>
        <w:tc>
          <w:tcPr>
            <w:tcW w:w="1553" w:type="dxa"/>
            <w:noWrap/>
            <w:hideMark/>
          </w:tcPr>
          <w:p w14:paraId="1226AFBB"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3.000.000,00 €</w:t>
            </w:r>
          </w:p>
        </w:tc>
      </w:tr>
      <w:tr w:rsidR="0087786B" w:rsidRPr="0087786B" w14:paraId="48D27E45" w14:textId="77777777" w:rsidTr="00416682">
        <w:trPr>
          <w:trHeight w:val="300"/>
        </w:trPr>
        <w:tc>
          <w:tcPr>
            <w:tcW w:w="1361" w:type="dxa"/>
            <w:noWrap/>
            <w:hideMark/>
          </w:tcPr>
          <w:p w14:paraId="658E42B4"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Región de Murcia</w:t>
            </w:r>
          </w:p>
        </w:tc>
        <w:tc>
          <w:tcPr>
            <w:tcW w:w="2479" w:type="dxa"/>
            <w:noWrap/>
            <w:hideMark/>
          </w:tcPr>
          <w:p w14:paraId="1DA1D061" w14:textId="77777777" w:rsidR="0087786B" w:rsidRPr="0087786B" w:rsidRDefault="0087786B" w:rsidP="0087786B">
            <w:pPr>
              <w:tabs>
                <w:tab w:val="left" w:pos="426"/>
              </w:tabs>
              <w:spacing w:line="276" w:lineRule="auto"/>
              <w:jc w:val="both"/>
              <w:rPr>
                <w:rFonts w:ascii="Arial" w:eastAsiaTheme="minorHAnsi" w:hAnsi="Arial" w:cs="Arial"/>
                <w:bCs/>
                <w:lang w:eastAsia="en-US"/>
              </w:rPr>
            </w:pPr>
            <w:r w:rsidRPr="0087786B">
              <w:rPr>
                <w:rFonts w:ascii="Arial" w:eastAsiaTheme="minorHAnsi" w:hAnsi="Arial" w:cs="Arial"/>
                <w:bCs/>
                <w:lang w:eastAsia="en-US"/>
              </w:rPr>
              <w:t>Municipios de la CA de la Región de Murcia</w:t>
            </w:r>
          </w:p>
        </w:tc>
        <w:tc>
          <w:tcPr>
            <w:tcW w:w="3101" w:type="dxa"/>
            <w:hideMark/>
          </w:tcPr>
          <w:p w14:paraId="63C3DCAC" w14:textId="6BF0E888" w:rsidR="0087786B" w:rsidRPr="0087786B" w:rsidRDefault="00605E50" w:rsidP="0087786B">
            <w:pPr>
              <w:tabs>
                <w:tab w:val="left" w:pos="426"/>
              </w:tabs>
              <w:spacing w:line="276" w:lineRule="auto"/>
              <w:jc w:val="both"/>
              <w:rPr>
                <w:rFonts w:ascii="Arial" w:eastAsiaTheme="minorHAnsi" w:hAnsi="Arial" w:cs="Arial"/>
                <w:bCs/>
                <w:lang w:eastAsia="en-US"/>
              </w:rPr>
            </w:pPr>
            <w:r>
              <w:rPr>
                <w:rFonts w:ascii="Arial" w:eastAsiaTheme="minorHAnsi" w:hAnsi="Arial" w:cs="Arial"/>
                <w:bCs/>
                <w:lang w:eastAsia="en-US"/>
              </w:rPr>
              <w:t xml:space="preserve">ACD </w:t>
            </w:r>
            <w:r w:rsidR="0087786B" w:rsidRPr="0087786B">
              <w:rPr>
                <w:rFonts w:ascii="Arial" w:eastAsiaTheme="minorHAnsi" w:hAnsi="Arial" w:cs="Arial"/>
                <w:bCs/>
                <w:lang w:eastAsia="en-US"/>
              </w:rPr>
              <w:t>Valle de Ricote SLOW</w:t>
            </w:r>
          </w:p>
        </w:tc>
        <w:tc>
          <w:tcPr>
            <w:tcW w:w="1553" w:type="dxa"/>
            <w:noWrap/>
            <w:hideMark/>
          </w:tcPr>
          <w:p w14:paraId="6BF59E9B" w14:textId="77777777" w:rsidR="0087786B" w:rsidRPr="0087786B" w:rsidRDefault="0087786B" w:rsidP="00D53AE5">
            <w:pPr>
              <w:tabs>
                <w:tab w:val="left" w:pos="426"/>
              </w:tabs>
              <w:spacing w:line="276" w:lineRule="auto"/>
              <w:jc w:val="center"/>
              <w:rPr>
                <w:rFonts w:ascii="Arial" w:eastAsiaTheme="minorHAnsi" w:hAnsi="Arial" w:cs="Arial"/>
                <w:bCs/>
                <w:lang w:eastAsia="en-US"/>
              </w:rPr>
            </w:pPr>
            <w:r w:rsidRPr="0087786B">
              <w:rPr>
                <w:rFonts w:ascii="Arial" w:eastAsiaTheme="minorHAnsi" w:hAnsi="Arial" w:cs="Arial"/>
                <w:bCs/>
                <w:lang w:eastAsia="en-US"/>
              </w:rPr>
              <w:t>3.342.707,50 €</w:t>
            </w:r>
          </w:p>
        </w:tc>
      </w:tr>
    </w:tbl>
    <w:p w14:paraId="25533F93" w14:textId="12B77C1A" w:rsidR="00C1706B" w:rsidRDefault="00C1706B" w:rsidP="00D227DF">
      <w:pPr>
        <w:tabs>
          <w:tab w:val="left" w:pos="426"/>
        </w:tabs>
        <w:spacing w:line="276" w:lineRule="auto"/>
        <w:jc w:val="both"/>
        <w:rPr>
          <w:rFonts w:ascii="Arial" w:eastAsiaTheme="minorHAnsi" w:hAnsi="Arial" w:cs="Arial"/>
          <w:b/>
          <w:bCs/>
          <w:sz w:val="18"/>
          <w:szCs w:val="18"/>
          <w:lang w:val="es-ES" w:eastAsia="en-US"/>
        </w:rPr>
      </w:pPr>
    </w:p>
    <w:p w14:paraId="6C4FDE5A" w14:textId="41F15AE4" w:rsidR="00092400" w:rsidRPr="00536D3C" w:rsidRDefault="00DD3807" w:rsidP="00F209AA">
      <w:pPr>
        <w:tabs>
          <w:tab w:val="left" w:pos="426"/>
        </w:tabs>
        <w:spacing w:line="276" w:lineRule="auto"/>
        <w:ind w:right="-427"/>
        <w:jc w:val="both"/>
        <w:rPr>
          <w:rFonts w:ascii="Arial" w:eastAsiaTheme="minorHAnsi" w:hAnsi="Arial" w:cs="Arial"/>
          <w:b/>
          <w:bCs/>
          <w:color w:val="FF0000"/>
          <w:sz w:val="18"/>
          <w:szCs w:val="18"/>
          <w:lang w:val="es-ES" w:eastAsia="en-US"/>
        </w:rPr>
      </w:pPr>
      <w:r w:rsidRPr="00476DB2">
        <w:rPr>
          <w:rFonts w:ascii="Arial" w:eastAsiaTheme="minorHAnsi" w:hAnsi="Arial" w:cs="Arial"/>
          <w:b/>
          <w:bCs/>
          <w:sz w:val="18"/>
          <w:szCs w:val="18"/>
          <w:lang w:val="es-ES" w:eastAsia="en-US"/>
        </w:rPr>
        <w:t>Tabla 2</w:t>
      </w:r>
      <w:r w:rsidR="002D1E10" w:rsidRPr="00476DB2">
        <w:rPr>
          <w:rFonts w:ascii="Arial" w:eastAsiaTheme="minorHAnsi" w:hAnsi="Arial" w:cs="Arial"/>
          <w:b/>
          <w:bCs/>
          <w:sz w:val="18"/>
          <w:szCs w:val="18"/>
          <w:lang w:val="es-ES" w:eastAsia="en-US"/>
        </w:rPr>
        <w:t xml:space="preserve">. Reparto </w:t>
      </w:r>
      <w:r w:rsidR="002D1E10" w:rsidRPr="00E1709F">
        <w:rPr>
          <w:rFonts w:ascii="Arial" w:eastAsiaTheme="minorHAnsi" w:hAnsi="Arial" w:cs="Arial"/>
          <w:b/>
          <w:bCs/>
          <w:sz w:val="18"/>
          <w:szCs w:val="18"/>
          <w:lang w:val="es-ES" w:eastAsia="en-US"/>
        </w:rPr>
        <w:t xml:space="preserve">de </w:t>
      </w:r>
      <w:r w:rsidR="00536D3C">
        <w:rPr>
          <w:rFonts w:ascii="Arial" w:eastAsiaTheme="minorHAnsi" w:hAnsi="Arial" w:cs="Arial"/>
          <w:b/>
          <w:bCs/>
          <w:sz w:val="18"/>
          <w:szCs w:val="18"/>
          <w:lang w:val="es-ES" w:eastAsia="en-US"/>
        </w:rPr>
        <w:t>478</w:t>
      </w:r>
      <w:r w:rsidR="002412FC">
        <w:rPr>
          <w:rFonts w:ascii="Arial" w:eastAsiaTheme="minorHAnsi" w:hAnsi="Arial" w:cs="Arial"/>
          <w:b/>
          <w:bCs/>
          <w:sz w:val="18"/>
          <w:szCs w:val="18"/>
          <w:lang w:val="es-ES" w:eastAsia="en-US"/>
        </w:rPr>
        <w:t>.</w:t>
      </w:r>
      <w:r w:rsidR="00536D3C">
        <w:rPr>
          <w:rFonts w:ascii="Arial" w:eastAsiaTheme="minorHAnsi" w:hAnsi="Arial" w:cs="Arial"/>
          <w:b/>
          <w:bCs/>
          <w:sz w:val="18"/>
          <w:szCs w:val="18"/>
          <w:lang w:val="es-ES" w:eastAsia="en-US"/>
        </w:rPr>
        <w:t>00</w:t>
      </w:r>
      <w:r w:rsidR="002412FC">
        <w:rPr>
          <w:rFonts w:ascii="Arial" w:eastAsiaTheme="minorHAnsi" w:hAnsi="Arial" w:cs="Arial"/>
          <w:b/>
          <w:bCs/>
          <w:sz w:val="18"/>
          <w:szCs w:val="18"/>
          <w:lang w:val="es-ES" w:eastAsia="en-US"/>
        </w:rPr>
        <w:t xml:space="preserve">0.000 </w:t>
      </w:r>
      <w:r w:rsidR="002D1E10" w:rsidRPr="00E1709F">
        <w:rPr>
          <w:rFonts w:ascii="Arial" w:eastAsiaTheme="minorHAnsi" w:hAnsi="Arial" w:cs="Arial"/>
          <w:b/>
          <w:bCs/>
          <w:sz w:val="18"/>
          <w:szCs w:val="18"/>
          <w:lang w:val="es-ES" w:eastAsia="en-US"/>
        </w:rPr>
        <w:t>euros por comunidad</w:t>
      </w:r>
      <w:r w:rsidRPr="00E1709F">
        <w:rPr>
          <w:rFonts w:ascii="Arial" w:eastAsiaTheme="minorHAnsi" w:hAnsi="Arial" w:cs="Arial"/>
          <w:b/>
          <w:bCs/>
          <w:sz w:val="18"/>
          <w:szCs w:val="18"/>
          <w:lang w:val="es-ES" w:eastAsia="en-US"/>
        </w:rPr>
        <w:t xml:space="preserve"> autónoma</w:t>
      </w:r>
      <w:r w:rsidR="00277220" w:rsidRPr="00E1709F">
        <w:rPr>
          <w:rFonts w:ascii="Arial" w:eastAsiaTheme="minorHAnsi" w:hAnsi="Arial" w:cs="Arial"/>
          <w:b/>
          <w:bCs/>
          <w:sz w:val="18"/>
          <w:szCs w:val="18"/>
          <w:lang w:val="es-ES" w:eastAsia="en-US"/>
        </w:rPr>
        <w:t xml:space="preserve"> y entidad local</w:t>
      </w:r>
      <w:r w:rsidR="003604FF" w:rsidRPr="00E1709F">
        <w:rPr>
          <w:rFonts w:ascii="Arial" w:eastAsiaTheme="minorHAnsi" w:hAnsi="Arial" w:cs="Arial"/>
          <w:b/>
          <w:bCs/>
          <w:sz w:val="18"/>
          <w:szCs w:val="18"/>
          <w:lang w:val="es-ES" w:eastAsia="en-US"/>
        </w:rPr>
        <w:t xml:space="preserve">. </w:t>
      </w:r>
    </w:p>
    <w:p w14:paraId="4F122332" w14:textId="77777777" w:rsidR="000A4F8D" w:rsidRPr="00B30385" w:rsidRDefault="000A4F8D" w:rsidP="00D227DF">
      <w:pPr>
        <w:tabs>
          <w:tab w:val="left" w:pos="426"/>
        </w:tabs>
        <w:spacing w:line="276" w:lineRule="auto"/>
        <w:jc w:val="both"/>
        <w:rPr>
          <w:rFonts w:ascii="Arial" w:eastAsiaTheme="minorHAnsi" w:hAnsi="Arial" w:cs="Arial"/>
          <w:b/>
          <w:bCs/>
          <w:sz w:val="22"/>
          <w:szCs w:val="22"/>
          <w:lang w:val="es-ES" w:eastAsia="en-US"/>
        </w:rPr>
      </w:pPr>
    </w:p>
    <w:p w14:paraId="2CE0F335" w14:textId="59F81E5B" w:rsidR="00F53327" w:rsidRPr="00B30385" w:rsidRDefault="00F53327" w:rsidP="00B30385">
      <w:pPr>
        <w:pStyle w:val="Textocomentario"/>
        <w:jc w:val="both"/>
        <w:rPr>
          <w:rFonts w:ascii="Arial" w:hAnsi="Arial" w:cs="Arial"/>
          <w:sz w:val="22"/>
          <w:szCs w:val="22"/>
        </w:rPr>
      </w:pPr>
      <w:r w:rsidRPr="00B30385">
        <w:rPr>
          <w:rFonts w:ascii="Arial" w:hAnsi="Arial" w:cs="Arial"/>
          <w:sz w:val="22"/>
          <w:szCs w:val="22"/>
        </w:rPr>
        <w:t>Las actuaciones financiadas con cargo a estos créditos deberán ejecutarse conforme a la legislación medioam</w:t>
      </w:r>
      <w:r w:rsidR="00D43F5D">
        <w:rPr>
          <w:rFonts w:ascii="Arial" w:hAnsi="Arial" w:cs="Arial"/>
          <w:sz w:val="22"/>
          <w:szCs w:val="22"/>
        </w:rPr>
        <w:t>b</w:t>
      </w:r>
      <w:r w:rsidRPr="00B30385">
        <w:rPr>
          <w:rFonts w:ascii="Arial" w:hAnsi="Arial" w:cs="Arial"/>
          <w:sz w:val="22"/>
          <w:szCs w:val="22"/>
        </w:rPr>
        <w:t>ienta</w:t>
      </w:r>
      <w:r w:rsidR="00980F4D">
        <w:rPr>
          <w:rFonts w:ascii="Arial" w:hAnsi="Arial" w:cs="Arial"/>
          <w:sz w:val="22"/>
          <w:szCs w:val="22"/>
        </w:rPr>
        <w:t>l nacional y europea pertinente</w:t>
      </w:r>
      <w:r w:rsidRPr="00B30385">
        <w:rPr>
          <w:rFonts w:ascii="Arial" w:hAnsi="Arial" w:cs="Arial"/>
          <w:sz w:val="22"/>
          <w:szCs w:val="22"/>
        </w:rPr>
        <w:t>.</w:t>
      </w:r>
    </w:p>
    <w:p w14:paraId="54A7C0FE" w14:textId="77777777" w:rsidR="00092400" w:rsidRPr="00B30385" w:rsidRDefault="00092400" w:rsidP="00D227DF">
      <w:pPr>
        <w:tabs>
          <w:tab w:val="left" w:pos="426"/>
        </w:tabs>
        <w:spacing w:line="276" w:lineRule="auto"/>
        <w:jc w:val="both"/>
        <w:rPr>
          <w:rFonts w:ascii="Arial" w:eastAsiaTheme="minorHAnsi" w:hAnsi="Arial" w:cs="Arial"/>
          <w:b/>
          <w:bCs/>
          <w:sz w:val="22"/>
          <w:szCs w:val="22"/>
          <w:lang w:val="es-ES" w:eastAsia="en-US"/>
        </w:rPr>
      </w:pPr>
    </w:p>
    <w:p w14:paraId="5C1777C4" w14:textId="63DAA3C6" w:rsidR="0052341B" w:rsidRPr="00B30385" w:rsidRDefault="00092400" w:rsidP="0052341B">
      <w:pPr>
        <w:autoSpaceDE w:val="0"/>
        <w:autoSpaceDN w:val="0"/>
        <w:adjustRightInd w:val="0"/>
        <w:spacing w:before="120" w:after="120" w:line="276" w:lineRule="auto"/>
        <w:jc w:val="both"/>
        <w:rPr>
          <w:rFonts w:ascii="Arial" w:eastAsiaTheme="minorHAnsi" w:hAnsi="Arial" w:cs="Arial"/>
          <w:bCs/>
          <w:sz w:val="22"/>
          <w:szCs w:val="22"/>
          <w:lang w:val="es-ES" w:eastAsia="en-US"/>
        </w:rPr>
      </w:pPr>
      <w:r w:rsidRPr="00B30385">
        <w:rPr>
          <w:rFonts w:ascii="Arial" w:eastAsiaTheme="minorHAnsi" w:hAnsi="Arial" w:cs="Arial"/>
          <w:b/>
          <w:bCs/>
          <w:sz w:val="22"/>
          <w:szCs w:val="22"/>
          <w:lang w:val="es-ES" w:eastAsia="en-US"/>
        </w:rPr>
        <w:t>T</w:t>
      </w:r>
      <w:r w:rsidR="0038051A" w:rsidRPr="00B30385">
        <w:rPr>
          <w:rFonts w:ascii="Arial" w:eastAsiaTheme="minorHAnsi" w:hAnsi="Arial" w:cs="Arial"/>
          <w:b/>
          <w:bCs/>
          <w:sz w:val="22"/>
          <w:szCs w:val="22"/>
          <w:lang w:val="es-ES" w:eastAsia="en-US"/>
        </w:rPr>
        <w:t xml:space="preserve">ransferencia de los fondos y afectación de los mismos: </w:t>
      </w:r>
      <w:r w:rsidR="0038051A" w:rsidRPr="00B30385">
        <w:rPr>
          <w:rFonts w:ascii="Arial" w:eastAsiaTheme="minorHAnsi" w:hAnsi="Arial" w:cs="Arial"/>
          <w:bCs/>
          <w:sz w:val="22"/>
          <w:szCs w:val="22"/>
          <w:lang w:val="es-ES" w:eastAsia="en-US"/>
        </w:rPr>
        <w:t xml:space="preserve">la transferencia de crédito a </w:t>
      </w:r>
      <w:r w:rsidR="00EF4652" w:rsidRPr="00B30385">
        <w:rPr>
          <w:rFonts w:ascii="Arial" w:eastAsiaTheme="minorHAnsi" w:hAnsi="Arial" w:cs="Arial"/>
          <w:bCs/>
          <w:sz w:val="22"/>
          <w:szCs w:val="22"/>
          <w:lang w:val="es-ES" w:eastAsia="en-US"/>
        </w:rPr>
        <w:t xml:space="preserve">las comunidades autónomas </w:t>
      </w:r>
      <w:r w:rsidR="0038051A" w:rsidRPr="00B30385">
        <w:rPr>
          <w:rFonts w:ascii="Arial" w:eastAsiaTheme="minorHAnsi" w:hAnsi="Arial" w:cs="Arial"/>
          <w:bCs/>
          <w:sz w:val="22"/>
          <w:szCs w:val="22"/>
          <w:lang w:val="es-ES" w:eastAsia="en-US"/>
        </w:rPr>
        <w:t>se realizará con cargo a la aplicación presupuestaria</w:t>
      </w:r>
      <w:r w:rsidR="00F26CED" w:rsidRPr="00B30385">
        <w:rPr>
          <w:rFonts w:ascii="Arial" w:eastAsiaTheme="minorHAnsi" w:hAnsi="Arial" w:cs="Arial"/>
          <w:bCs/>
          <w:sz w:val="22"/>
          <w:szCs w:val="22"/>
          <w:lang w:val="es-ES" w:eastAsia="en-US"/>
        </w:rPr>
        <w:t xml:space="preserve"> indicada anteriormente</w:t>
      </w:r>
      <w:r w:rsidR="00F3042F" w:rsidRPr="00B30385">
        <w:rPr>
          <w:rFonts w:ascii="Arial" w:eastAsiaTheme="minorHAnsi" w:hAnsi="Arial" w:cs="Arial"/>
          <w:bCs/>
          <w:sz w:val="22"/>
          <w:szCs w:val="22"/>
          <w:lang w:val="es-ES" w:eastAsia="en-US"/>
        </w:rPr>
        <w:t>.</w:t>
      </w:r>
      <w:r w:rsidR="0038051A" w:rsidRPr="00B30385">
        <w:rPr>
          <w:rFonts w:ascii="Arial" w:eastAsiaTheme="minorHAnsi" w:hAnsi="Arial" w:cs="Arial"/>
          <w:bCs/>
          <w:sz w:val="22"/>
          <w:szCs w:val="22"/>
          <w:lang w:val="es-ES" w:eastAsia="en-US"/>
        </w:rPr>
        <w:t xml:space="preserve"> </w:t>
      </w:r>
      <w:r w:rsidR="00F3042F" w:rsidRPr="00B30385">
        <w:rPr>
          <w:rFonts w:ascii="Arial" w:eastAsiaTheme="minorHAnsi" w:hAnsi="Arial" w:cs="Arial"/>
          <w:bCs/>
          <w:sz w:val="22"/>
          <w:szCs w:val="22"/>
          <w:lang w:val="es-ES" w:eastAsia="en-US"/>
        </w:rPr>
        <w:t>P</w:t>
      </w:r>
      <w:r w:rsidR="0038051A" w:rsidRPr="00B30385">
        <w:rPr>
          <w:rFonts w:ascii="Arial" w:eastAsiaTheme="minorHAnsi" w:hAnsi="Arial" w:cs="Arial"/>
          <w:bCs/>
          <w:sz w:val="22"/>
          <w:szCs w:val="22"/>
          <w:lang w:val="es-ES" w:eastAsia="en-US"/>
        </w:rPr>
        <w:t>odrá librarse en su totalidad de una sola vez</w:t>
      </w:r>
      <w:r w:rsidR="00A64732" w:rsidRPr="00B30385">
        <w:rPr>
          <w:rFonts w:ascii="Arial" w:eastAsiaTheme="minorHAnsi" w:hAnsi="Arial" w:cs="Arial"/>
          <w:bCs/>
          <w:sz w:val="22"/>
          <w:szCs w:val="22"/>
          <w:lang w:val="es-ES" w:eastAsia="en-US"/>
        </w:rPr>
        <w:t xml:space="preserve"> y se hará efectivo de acuerdo con lo previsto por la Ley 47/2003, de 26 de noviembre, la </w:t>
      </w:r>
      <w:r w:rsidR="00980F4D" w:rsidRPr="00980F4D">
        <w:rPr>
          <w:rFonts w:ascii="Arial" w:eastAsiaTheme="minorHAnsi" w:hAnsi="Arial" w:cs="Arial"/>
          <w:bCs/>
          <w:sz w:val="22"/>
          <w:szCs w:val="22"/>
          <w:lang w:val="es-ES" w:eastAsia="en-US"/>
        </w:rPr>
        <w:t xml:space="preserve">Ley </w:t>
      </w:r>
      <w:r w:rsidR="00536D3C">
        <w:rPr>
          <w:rFonts w:ascii="Arial" w:eastAsiaTheme="minorHAnsi" w:hAnsi="Arial" w:cs="Arial"/>
          <w:bCs/>
          <w:sz w:val="22"/>
          <w:szCs w:val="22"/>
          <w:lang w:val="es-ES" w:eastAsia="en-US"/>
        </w:rPr>
        <w:t>31</w:t>
      </w:r>
      <w:r w:rsidR="00980F4D" w:rsidRPr="00980F4D">
        <w:rPr>
          <w:rFonts w:ascii="Arial" w:eastAsiaTheme="minorHAnsi" w:hAnsi="Arial" w:cs="Arial"/>
          <w:bCs/>
          <w:sz w:val="22"/>
          <w:szCs w:val="22"/>
          <w:lang w:val="es-ES" w:eastAsia="en-US"/>
        </w:rPr>
        <w:t>/</w:t>
      </w:r>
      <w:r w:rsidR="00536D3C" w:rsidRPr="00980F4D">
        <w:rPr>
          <w:rFonts w:ascii="Arial" w:eastAsiaTheme="minorHAnsi" w:hAnsi="Arial" w:cs="Arial"/>
          <w:bCs/>
          <w:sz w:val="22"/>
          <w:szCs w:val="22"/>
          <w:lang w:val="es-ES" w:eastAsia="en-US"/>
        </w:rPr>
        <w:t>202</w:t>
      </w:r>
      <w:r w:rsidR="00536D3C">
        <w:rPr>
          <w:rFonts w:ascii="Arial" w:eastAsiaTheme="minorHAnsi" w:hAnsi="Arial" w:cs="Arial"/>
          <w:bCs/>
          <w:sz w:val="22"/>
          <w:szCs w:val="22"/>
          <w:lang w:val="es-ES" w:eastAsia="en-US"/>
        </w:rPr>
        <w:t>2</w:t>
      </w:r>
      <w:r w:rsidR="00980F4D" w:rsidRPr="00980F4D">
        <w:rPr>
          <w:rFonts w:ascii="Arial" w:eastAsiaTheme="minorHAnsi" w:hAnsi="Arial" w:cs="Arial"/>
          <w:bCs/>
          <w:sz w:val="22"/>
          <w:szCs w:val="22"/>
          <w:lang w:val="es-ES" w:eastAsia="en-US"/>
        </w:rPr>
        <w:t xml:space="preserve">, de </w:t>
      </w:r>
      <w:r w:rsidR="00536D3C" w:rsidRPr="00980F4D">
        <w:rPr>
          <w:rFonts w:ascii="Arial" w:eastAsiaTheme="minorHAnsi" w:hAnsi="Arial" w:cs="Arial"/>
          <w:bCs/>
          <w:sz w:val="22"/>
          <w:szCs w:val="22"/>
          <w:lang w:val="es-ES" w:eastAsia="en-US"/>
        </w:rPr>
        <w:t>2</w:t>
      </w:r>
      <w:r w:rsidR="00536D3C">
        <w:rPr>
          <w:rFonts w:ascii="Arial" w:eastAsiaTheme="minorHAnsi" w:hAnsi="Arial" w:cs="Arial"/>
          <w:bCs/>
          <w:sz w:val="22"/>
          <w:szCs w:val="22"/>
          <w:lang w:val="es-ES" w:eastAsia="en-US"/>
        </w:rPr>
        <w:t xml:space="preserve">3 </w:t>
      </w:r>
      <w:r w:rsidR="00980F4D" w:rsidRPr="00980F4D">
        <w:rPr>
          <w:rFonts w:ascii="Arial" w:eastAsiaTheme="minorHAnsi" w:hAnsi="Arial" w:cs="Arial"/>
          <w:bCs/>
          <w:sz w:val="22"/>
          <w:szCs w:val="22"/>
          <w:lang w:val="es-ES" w:eastAsia="en-US"/>
        </w:rPr>
        <w:t xml:space="preserve">de diciembre, de Presupuestos Generales del Estado para el año </w:t>
      </w:r>
      <w:r w:rsidR="00536D3C" w:rsidRPr="00980F4D">
        <w:rPr>
          <w:rFonts w:ascii="Arial" w:eastAsiaTheme="minorHAnsi" w:hAnsi="Arial" w:cs="Arial"/>
          <w:bCs/>
          <w:sz w:val="22"/>
          <w:szCs w:val="22"/>
          <w:lang w:val="es-ES" w:eastAsia="en-US"/>
        </w:rPr>
        <w:t>202</w:t>
      </w:r>
      <w:r w:rsidR="00536D3C">
        <w:rPr>
          <w:rFonts w:ascii="Arial" w:eastAsiaTheme="minorHAnsi" w:hAnsi="Arial" w:cs="Arial"/>
          <w:bCs/>
          <w:sz w:val="22"/>
          <w:szCs w:val="22"/>
          <w:lang w:val="es-ES" w:eastAsia="en-US"/>
        </w:rPr>
        <w:t xml:space="preserve">3 </w:t>
      </w:r>
      <w:r w:rsidR="00A64732" w:rsidRPr="00B30385">
        <w:rPr>
          <w:rFonts w:ascii="Arial" w:eastAsiaTheme="minorHAnsi" w:hAnsi="Arial" w:cs="Arial"/>
          <w:bCs/>
          <w:sz w:val="22"/>
          <w:szCs w:val="22"/>
          <w:lang w:val="es-ES" w:eastAsia="en-US"/>
        </w:rPr>
        <w:t>y el Real Decreto-ley 36/2020, de 30 de diciembre.</w:t>
      </w:r>
    </w:p>
    <w:p w14:paraId="282F65F2" w14:textId="02CCC9EE" w:rsidR="005D4587" w:rsidRPr="00B30385" w:rsidRDefault="0038051A" w:rsidP="00DD3807">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Los créditos transferidos quedan legalmente afectados a la financiación de las actuaciones </w:t>
      </w:r>
      <w:r w:rsidR="00717085" w:rsidRPr="00B30385">
        <w:rPr>
          <w:rFonts w:ascii="Arial" w:eastAsiaTheme="minorHAnsi" w:hAnsi="Arial" w:cs="Arial"/>
          <w:bCs/>
          <w:sz w:val="22"/>
          <w:szCs w:val="22"/>
          <w:lang w:val="es-ES" w:eastAsia="en-US"/>
        </w:rPr>
        <w:t>acordadas</w:t>
      </w:r>
      <w:r w:rsidRPr="00B30385">
        <w:rPr>
          <w:rFonts w:ascii="Arial" w:eastAsiaTheme="minorHAnsi" w:hAnsi="Arial" w:cs="Arial"/>
          <w:bCs/>
          <w:sz w:val="22"/>
          <w:szCs w:val="22"/>
          <w:lang w:val="es-ES" w:eastAsia="en-US"/>
        </w:rPr>
        <w:t xml:space="preserve">, de forma que posibiliten el cumplimiento de los objetivos comunitarios en la materia y de los hitos y objetivos del Componente 14 del </w:t>
      </w:r>
      <w:r w:rsidR="0098655D" w:rsidRPr="00B30385">
        <w:rPr>
          <w:rFonts w:ascii="Arial" w:eastAsiaTheme="minorHAnsi" w:hAnsi="Arial" w:cs="Arial"/>
          <w:bCs/>
          <w:sz w:val="22"/>
          <w:szCs w:val="22"/>
          <w:lang w:val="es-ES" w:eastAsia="en-US"/>
        </w:rPr>
        <w:t>PRTR</w:t>
      </w:r>
      <w:r w:rsidRPr="00B30385">
        <w:rPr>
          <w:rFonts w:ascii="Arial" w:eastAsiaTheme="minorHAnsi" w:hAnsi="Arial" w:cs="Arial"/>
          <w:bCs/>
          <w:sz w:val="22"/>
          <w:szCs w:val="22"/>
          <w:lang w:val="es-ES" w:eastAsia="en-US"/>
        </w:rPr>
        <w:t>, previéndose el reintegro total o par</w:t>
      </w:r>
      <w:r w:rsidR="00F809C1" w:rsidRPr="00B30385">
        <w:rPr>
          <w:rFonts w:ascii="Arial" w:eastAsiaTheme="minorHAnsi" w:hAnsi="Arial" w:cs="Arial"/>
          <w:bCs/>
          <w:sz w:val="22"/>
          <w:szCs w:val="22"/>
          <w:lang w:val="es-ES" w:eastAsia="en-US"/>
        </w:rPr>
        <w:t>cial</w:t>
      </w:r>
      <w:r w:rsidRPr="00B30385">
        <w:rPr>
          <w:rFonts w:ascii="Arial" w:eastAsiaTheme="minorHAnsi" w:hAnsi="Arial" w:cs="Arial"/>
          <w:bCs/>
          <w:sz w:val="22"/>
          <w:szCs w:val="22"/>
          <w:lang w:val="es-ES" w:eastAsia="en-US"/>
        </w:rPr>
        <w:t xml:space="preserve"> de los mismos en caso de no realizarse el gasto o en caso de incumplimiento total o parcial de los objetivos previstos</w:t>
      </w:r>
      <w:r w:rsidR="00EF4B01" w:rsidRPr="00B30385">
        <w:rPr>
          <w:rFonts w:ascii="Arial" w:eastAsiaTheme="minorHAnsi" w:hAnsi="Arial" w:cs="Arial"/>
          <w:bCs/>
          <w:sz w:val="22"/>
          <w:szCs w:val="22"/>
          <w:lang w:val="es-ES" w:eastAsia="en-US"/>
        </w:rPr>
        <w:t>, conforme a lo dispuesto en la</w:t>
      </w:r>
      <w:r w:rsidR="002428CA" w:rsidRPr="00B30385">
        <w:rPr>
          <w:rFonts w:ascii="Arial" w:eastAsiaTheme="minorHAnsi" w:hAnsi="Arial" w:cs="Arial"/>
          <w:bCs/>
          <w:sz w:val="22"/>
          <w:szCs w:val="22"/>
          <w:lang w:val="es-ES" w:eastAsia="en-US"/>
        </w:rPr>
        <w:t xml:space="preserve"> </w:t>
      </w:r>
      <w:r w:rsidR="00980F4D" w:rsidRPr="00980F4D">
        <w:rPr>
          <w:rFonts w:ascii="Arial" w:eastAsiaTheme="minorHAnsi" w:hAnsi="Arial" w:cs="Arial"/>
          <w:bCs/>
          <w:sz w:val="22"/>
          <w:szCs w:val="22"/>
          <w:lang w:val="es-ES" w:eastAsia="en-US"/>
        </w:rPr>
        <w:t xml:space="preserve">Ley </w:t>
      </w:r>
      <w:r w:rsidR="00536D3C">
        <w:rPr>
          <w:rFonts w:ascii="Arial" w:eastAsiaTheme="minorHAnsi" w:hAnsi="Arial" w:cs="Arial"/>
          <w:bCs/>
          <w:sz w:val="22"/>
          <w:szCs w:val="22"/>
          <w:lang w:val="es-ES" w:eastAsia="en-US"/>
        </w:rPr>
        <w:t>31</w:t>
      </w:r>
      <w:r w:rsidR="00980F4D" w:rsidRPr="00980F4D">
        <w:rPr>
          <w:rFonts w:ascii="Arial" w:eastAsiaTheme="minorHAnsi" w:hAnsi="Arial" w:cs="Arial"/>
          <w:bCs/>
          <w:sz w:val="22"/>
          <w:szCs w:val="22"/>
          <w:lang w:val="es-ES" w:eastAsia="en-US"/>
        </w:rPr>
        <w:t>/</w:t>
      </w:r>
      <w:r w:rsidR="00536D3C" w:rsidRPr="00980F4D">
        <w:rPr>
          <w:rFonts w:ascii="Arial" w:eastAsiaTheme="minorHAnsi" w:hAnsi="Arial" w:cs="Arial"/>
          <w:bCs/>
          <w:sz w:val="22"/>
          <w:szCs w:val="22"/>
          <w:lang w:val="es-ES" w:eastAsia="en-US"/>
        </w:rPr>
        <w:t>202</w:t>
      </w:r>
      <w:r w:rsidR="00536D3C">
        <w:rPr>
          <w:rFonts w:ascii="Arial" w:eastAsiaTheme="minorHAnsi" w:hAnsi="Arial" w:cs="Arial"/>
          <w:bCs/>
          <w:sz w:val="22"/>
          <w:szCs w:val="22"/>
          <w:lang w:val="es-ES" w:eastAsia="en-US"/>
        </w:rPr>
        <w:t>2</w:t>
      </w:r>
      <w:r w:rsidR="00980F4D" w:rsidRPr="00980F4D">
        <w:rPr>
          <w:rFonts w:ascii="Arial" w:eastAsiaTheme="minorHAnsi" w:hAnsi="Arial" w:cs="Arial"/>
          <w:bCs/>
          <w:sz w:val="22"/>
          <w:szCs w:val="22"/>
          <w:lang w:val="es-ES" w:eastAsia="en-US"/>
        </w:rPr>
        <w:t xml:space="preserve">, de </w:t>
      </w:r>
      <w:r w:rsidR="00536D3C" w:rsidRPr="00980F4D">
        <w:rPr>
          <w:rFonts w:ascii="Arial" w:eastAsiaTheme="minorHAnsi" w:hAnsi="Arial" w:cs="Arial"/>
          <w:bCs/>
          <w:sz w:val="22"/>
          <w:szCs w:val="22"/>
          <w:lang w:val="es-ES" w:eastAsia="en-US"/>
        </w:rPr>
        <w:t>2</w:t>
      </w:r>
      <w:r w:rsidR="00536D3C">
        <w:rPr>
          <w:rFonts w:ascii="Arial" w:eastAsiaTheme="minorHAnsi" w:hAnsi="Arial" w:cs="Arial"/>
          <w:bCs/>
          <w:sz w:val="22"/>
          <w:szCs w:val="22"/>
          <w:lang w:val="es-ES" w:eastAsia="en-US"/>
        </w:rPr>
        <w:t>3</w:t>
      </w:r>
      <w:r w:rsidR="00536D3C" w:rsidRPr="00980F4D">
        <w:rPr>
          <w:rFonts w:ascii="Arial" w:eastAsiaTheme="minorHAnsi" w:hAnsi="Arial" w:cs="Arial"/>
          <w:bCs/>
          <w:sz w:val="22"/>
          <w:szCs w:val="22"/>
          <w:lang w:val="es-ES" w:eastAsia="en-US"/>
        </w:rPr>
        <w:t xml:space="preserve"> </w:t>
      </w:r>
      <w:r w:rsidR="00980F4D" w:rsidRPr="00980F4D">
        <w:rPr>
          <w:rFonts w:ascii="Arial" w:eastAsiaTheme="minorHAnsi" w:hAnsi="Arial" w:cs="Arial"/>
          <w:bCs/>
          <w:sz w:val="22"/>
          <w:szCs w:val="22"/>
          <w:lang w:val="es-ES" w:eastAsia="en-US"/>
        </w:rPr>
        <w:t xml:space="preserve">de diciembre, de Presupuestos Generales del Estado para el año </w:t>
      </w:r>
      <w:r w:rsidR="00536D3C" w:rsidRPr="00980F4D">
        <w:rPr>
          <w:rFonts w:ascii="Arial" w:eastAsiaTheme="minorHAnsi" w:hAnsi="Arial" w:cs="Arial"/>
          <w:bCs/>
          <w:sz w:val="22"/>
          <w:szCs w:val="22"/>
          <w:lang w:val="es-ES" w:eastAsia="en-US"/>
        </w:rPr>
        <w:t>202</w:t>
      </w:r>
      <w:r w:rsidR="00536D3C">
        <w:rPr>
          <w:rFonts w:ascii="Arial" w:eastAsiaTheme="minorHAnsi" w:hAnsi="Arial" w:cs="Arial"/>
          <w:bCs/>
          <w:sz w:val="22"/>
          <w:szCs w:val="22"/>
          <w:lang w:val="es-ES" w:eastAsia="en-US"/>
        </w:rPr>
        <w:t xml:space="preserve">3 </w:t>
      </w:r>
      <w:r w:rsidRPr="00B30385">
        <w:rPr>
          <w:rFonts w:ascii="Arial" w:eastAsiaTheme="minorHAnsi" w:hAnsi="Arial" w:cs="Arial"/>
          <w:bCs/>
          <w:sz w:val="22"/>
          <w:szCs w:val="22"/>
          <w:lang w:val="es-ES" w:eastAsia="en-US"/>
        </w:rPr>
        <w:t xml:space="preserve">y </w:t>
      </w:r>
      <w:r w:rsidR="00EF4B01" w:rsidRPr="00B30385">
        <w:rPr>
          <w:rFonts w:ascii="Arial" w:eastAsiaTheme="minorHAnsi" w:hAnsi="Arial" w:cs="Arial"/>
          <w:bCs/>
          <w:sz w:val="22"/>
          <w:szCs w:val="22"/>
          <w:lang w:val="es-ES" w:eastAsia="en-US"/>
        </w:rPr>
        <w:t xml:space="preserve">en el </w:t>
      </w:r>
      <w:r w:rsidRPr="00B30385">
        <w:rPr>
          <w:rFonts w:ascii="Arial" w:eastAsiaTheme="minorHAnsi" w:hAnsi="Arial" w:cs="Arial"/>
          <w:bCs/>
          <w:sz w:val="22"/>
          <w:szCs w:val="22"/>
          <w:lang w:val="es-ES" w:eastAsia="en-US"/>
        </w:rPr>
        <w:t>artículo 3</w:t>
      </w:r>
      <w:r w:rsidR="00EF4B01" w:rsidRPr="00B30385">
        <w:rPr>
          <w:rFonts w:ascii="Arial" w:eastAsiaTheme="minorHAnsi" w:hAnsi="Arial" w:cs="Arial"/>
          <w:bCs/>
          <w:sz w:val="22"/>
          <w:szCs w:val="22"/>
          <w:lang w:val="es-ES" w:eastAsia="en-US"/>
        </w:rPr>
        <w:t>7</w:t>
      </w:r>
      <w:r w:rsidRPr="00B30385">
        <w:rPr>
          <w:rFonts w:ascii="Arial" w:eastAsiaTheme="minorHAnsi" w:hAnsi="Arial" w:cs="Arial"/>
          <w:bCs/>
          <w:sz w:val="22"/>
          <w:szCs w:val="22"/>
          <w:lang w:val="es-ES" w:eastAsia="en-US"/>
        </w:rPr>
        <w:t>.4 del Real Decreto-ley 36/2020 de 30 de diciembre,.</w:t>
      </w:r>
      <w:r w:rsidR="00F55172" w:rsidRPr="00B30385">
        <w:rPr>
          <w:rFonts w:ascii="Arial" w:eastAsiaTheme="minorHAnsi" w:hAnsi="Arial" w:cs="Arial"/>
          <w:bCs/>
          <w:sz w:val="22"/>
          <w:szCs w:val="22"/>
          <w:lang w:val="es-ES" w:eastAsia="en-US"/>
        </w:rPr>
        <w:t xml:space="preserve"> </w:t>
      </w:r>
    </w:p>
    <w:p w14:paraId="2B59BBFC" w14:textId="57372091" w:rsidR="0052341B" w:rsidRPr="00B30385" w:rsidRDefault="0052341B" w:rsidP="00DD3807">
      <w:pPr>
        <w:tabs>
          <w:tab w:val="left" w:pos="426"/>
        </w:tabs>
        <w:spacing w:line="276" w:lineRule="auto"/>
        <w:jc w:val="both"/>
        <w:rPr>
          <w:rFonts w:ascii="Arial" w:eastAsiaTheme="minorHAnsi" w:hAnsi="Arial" w:cs="Arial"/>
          <w:bCs/>
          <w:sz w:val="22"/>
          <w:szCs w:val="22"/>
          <w:lang w:val="es-ES" w:eastAsia="en-US"/>
        </w:rPr>
      </w:pPr>
    </w:p>
    <w:p w14:paraId="108150FB" w14:textId="08B47EE3" w:rsidR="00F2226A" w:rsidRPr="00B30385" w:rsidRDefault="00F2226A" w:rsidP="004C4019">
      <w:pPr>
        <w:autoSpaceDE w:val="0"/>
        <w:autoSpaceDN w:val="0"/>
        <w:adjustRightInd w:val="0"/>
        <w:spacing w:before="120" w:after="120"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La concesión de las ayudas establecidas permite a las comunidades autónomas destinar los créditos correspondientes a las entidades beneficiarias en el marco de los Planes Territoriales, según lo que se determine a través de sus respectivos instrumentos jurídicos, y también que sean estas quienes ejecuten las propias actividades objeto de las ayudas, a través de las inversiones directas que pudieran efectuar con cargo a tales créditos, y teniendo en consideración las “Orientaciones para la transferencia de fondos a las comunidades autónomas para financiar medidas con el Mecanismo de Recuperación y Resiliencia a través de Conferencia Sectorial o mediante ayudas convocadas por el Estado y gestionadas por aquellas como entidades colaboradoras” del Ministerio de Hacienda de fecha 11 de febrero de 2021.</w:t>
      </w:r>
    </w:p>
    <w:p w14:paraId="0839D3A5" w14:textId="70BC9CBE" w:rsidR="00F2226A" w:rsidRPr="00B30385" w:rsidRDefault="00F2226A" w:rsidP="004C4019">
      <w:pPr>
        <w:tabs>
          <w:tab w:val="left" w:pos="426"/>
        </w:tabs>
        <w:spacing w:line="276" w:lineRule="auto"/>
        <w:jc w:val="both"/>
        <w:rPr>
          <w:rFonts w:ascii="Arial" w:eastAsiaTheme="minorHAnsi" w:hAnsi="Arial" w:cs="Arial"/>
          <w:bCs/>
          <w:sz w:val="22"/>
          <w:szCs w:val="22"/>
          <w:lang w:val="es-ES" w:eastAsia="en-US"/>
        </w:rPr>
      </w:pPr>
    </w:p>
    <w:p w14:paraId="37C98993" w14:textId="143B0E3F" w:rsidR="00D3760C" w:rsidRDefault="00F2226A" w:rsidP="004D451B">
      <w:pPr>
        <w:pStyle w:val="Default"/>
        <w:spacing w:line="276" w:lineRule="auto"/>
        <w:jc w:val="both"/>
        <w:rPr>
          <w:bCs/>
          <w:sz w:val="22"/>
          <w:szCs w:val="22"/>
        </w:rPr>
      </w:pPr>
      <w:r w:rsidRPr="00B30385">
        <w:rPr>
          <w:bCs/>
          <w:sz w:val="22"/>
          <w:szCs w:val="22"/>
        </w:rPr>
        <w:t>Las Acciones de Cohesión en Destinos y Planes de Sostenibilidad Turísticos</w:t>
      </w:r>
      <w:r w:rsidR="002428CA" w:rsidRPr="00B30385">
        <w:rPr>
          <w:bCs/>
          <w:sz w:val="22"/>
          <w:szCs w:val="22"/>
        </w:rPr>
        <w:t xml:space="preserve"> financiados mediante los créditos cuya distribución autoriza</w:t>
      </w:r>
      <w:r w:rsidRPr="00B30385">
        <w:rPr>
          <w:bCs/>
          <w:sz w:val="22"/>
          <w:szCs w:val="22"/>
        </w:rPr>
        <w:t xml:space="preserve"> </w:t>
      </w:r>
      <w:r w:rsidR="002428CA" w:rsidRPr="00B30385">
        <w:rPr>
          <w:bCs/>
          <w:sz w:val="22"/>
          <w:szCs w:val="22"/>
        </w:rPr>
        <w:t>el presente acuerdo estarán obligados a respetar el principio de “no causar daño significativo”</w:t>
      </w:r>
      <w:r w:rsidRPr="00B30385">
        <w:rPr>
          <w:bCs/>
          <w:sz w:val="22"/>
          <w:szCs w:val="22"/>
        </w:rPr>
        <w:t xml:space="preserve"> </w:t>
      </w:r>
      <w:r w:rsidR="002428CA" w:rsidRPr="00B30385">
        <w:rPr>
          <w:bCs/>
          <w:sz w:val="22"/>
          <w:szCs w:val="22"/>
        </w:rPr>
        <w:t>(principio do no significant harm - DNSH) al medio ambiente previsto en el Reglamento (UE)</w:t>
      </w:r>
      <w:r w:rsidRPr="00B30385">
        <w:rPr>
          <w:bCs/>
          <w:sz w:val="22"/>
          <w:szCs w:val="22"/>
        </w:rPr>
        <w:t xml:space="preserve"> </w:t>
      </w:r>
      <w:r w:rsidR="002428CA" w:rsidRPr="00B30385">
        <w:rPr>
          <w:bCs/>
          <w:sz w:val="22"/>
          <w:szCs w:val="22"/>
        </w:rPr>
        <w:t>2021/241 del Parlamento Europeo y del Consejo de 12 de febrero de 2021, por el que se</w:t>
      </w:r>
      <w:r w:rsidRPr="00B30385">
        <w:rPr>
          <w:bCs/>
          <w:sz w:val="22"/>
          <w:szCs w:val="22"/>
        </w:rPr>
        <w:t xml:space="preserve"> </w:t>
      </w:r>
      <w:r w:rsidR="002428CA" w:rsidRPr="00B30385">
        <w:rPr>
          <w:bCs/>
          <w:sz w:val="22"/>
          <w:szCs w:val="22"/>
        </w:rPr>
        <w:t>establece el Mecanismo de Recuperación y Resiliencia y demás normativa europea de</w:t>
      </w:r>
      <w:r w:rsidRPr="00B30385">
        <w:rPr>
          <w:bCs/>
          <w:sz w:val="22"/>
          <w:szCs w:val="22"/>
        </w:rPr>
        <w:t xml:space="preserve"> </w:t>
      </w:r>
      <w:r w:rsidR="002428CA" w:rsidRPr="00B30385">
        <w:rPr>
          <w:bCs/>
          <w:sz w:val="22"/>
          <w:szCs w:val="22"/>
        </w:rPr>
        <w:t xml:space="preserve">aplicación. </w:t>
      </w:r>
    </w:p>
    <w:p w14:paraId="389E503E" w14:textId="77777777" w:rsidR="00E20EE9" w:rsidRPr="00A6553F" w:rsidRDefault="00E20EE9" w:rsidP="004D451B">
      <w:pPr>
        <w:pStyle w:val="Default"/>
        <w:spacing w:line="276" w:lineRule="auto"/>
        <w:jc w:val="both"/>
        <w:rPr>
          <w:shd w:val="clear" w:color="auto" w:fill="FFFFFF"/>
        </w:rPr>
      </w:pPr>
    </w:p>
    <w:p w14:paraId="3BCCB85D" w14:textId="77777777" w:rsidR="00D3760C" w:rsidRPr="004D451B" w:rsidRDefault="00D3760C" w:rsidP="004D451B">
      <w:pPr>
        <w:pStyle w:val="Default"/>
        <w:spacing w:line="276" w:lineRule="auto"/>
        <w:jc w:val="both"/>
        <w:rPr>
          <w:sz w:val="22"/>
          <w:szCs w:val="22"/>
          <w:shd w:val="clear" w:color="auto" w:fill="FFFFFF"/>
        </w:rPr>
      </w:pPr>
      <w:r w:rsidRPr="004D451B">
        <w:rPr>
          <w:sz w:val="22"/>
          <w:szCs w:val="22"/>
          <w:shd w:val="clear" w:color="auto" w:fill="FFFFFF"/>
        </w:rPr>
        <w:t xml:space="preserve">Asimismo, garantizarán el </w:t>
      </w:r>
      <w:bookmarkStart w:id="1" w:name="_Hlk83200187"/>
      <w:r w:rsidRPr="004D451B">
        <w:rPr>
          <w:sz w:val="22"/>
          <w:szCs w:val="22"/>
          <w:shd w:val="clear" w:color="auto" w:fill="FFFFFF"/>
        </w:rPr>
        <w:t>cumplimiento de las obligaciones de etiquetado ambiental y digital, de acuerdo con lo previsto en el citado Reglamento</w:t>
      </w:r>
      <w:bookmarkEnd w:id="1"/>
      <w:r w:rsidRPr="004D451B">
        <w:rPr>
          <w:sz w:val="22"/>
          <w:szCs w:val="22"/>
          <w:shd w:val="clear" w:color="auto" w:fill="FFFFFF"/>
        </w:rPr>
        <w:t>, así como cumplimiento del acervo comunitario y nacional en materia medioambiental, según el principio de la Guía Técnica (2021/C58/01) de “No daño significativo” al medioambiente, estableciendo un listado de actividades y activos excluidos de la financiación.</w:t>
      </w:r>
    </w:p>
    <w:p w14:paraId="56F42A5C" w14:textId="77777777" w:rsidR="00F2226A" w:rsidRPr="00B30385" w:rsidRDefault="00F2226A" w:rsidP="00E20EE9">
      <w:pPr>
        <w:tabs>
          <w:tab w:val="left" w:pos="426"/>
        </w:tabs>
        <w:spacing w:line="276" w:lineRule="auto"/>
        <w:jc w:val="both"/>
        <w:rPr>
          <w:rFonts w:ascii="Arial" w:eastAsiaTheme="minorHAnsi" w:hAnsi="Arial" w:cs="Arial"/>
          <w:bCs/>
          <w:sz w:val="22"/>
          <w:szCs w:val="22"/>
          <w:lang w:val="es-ES" w:eastAsia="en-US"/>
        </w:rPr>
      </w:pPr>
    </w:p>
    <w:p w14:paraId="2A9DA65A" w14:textId="575F59F2" w:rsidR="00F2226A" w:rsidRPr="00B30385" w:rsidRDefault="005D4587" w:rsidP="005D4587">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Cada comunidad autónoma asume la responsabilidad en cuanto al seguimiento de la ejecución contable de los gastos imputados a proyectos o iniciativas del PRTR, de acuerdo con lo dispuesto en el artículo 46 del Real Decreto-ley 36/2020, de 30 de noviembre.</w:t>
      </w:r>
      <w:r w:rsidR="00EA6987" w:rsidRPr="00B30385">
        <w:rPr>
          <w:rFonts w:ascii="Arial" w:eastAsiaTheme="minorHAnsi" w:hAnsi="Arial" w:cs="Arial"/>
          <w:bCs/>
          <w:sz w:val="22"/>
          <w:szCs w:val="22"/>
          <w:lang w:val="es-ES" w:eastAsia="en-US"/>
        </w:rPr>
        <w:t xml:space="preserve"> Además, en tanto que entidades ejecutoras, asumirán las obligaciones de información y registro de la consecución de los correspondientes hitos y objetivos en los términos previstos en el artículo 3 de la Orden HFP/1030/2021, de 29 de septiembre, por la que se configura el sistema de gestión del Plan de recuperación, Transformación y Resiliencia, así como el resto de obligaciones establecidas en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r w:rsidR="004D451B">
        <w:rPr>
          <w:rFonts w:ascii="Arial" w:eastAsiaTheme="minorHAnsi" w:hAnsi="Arial" w:cs="Arial"/>
          <w:bCs/>
          <w:sz w:val="22"/>
          <w:szCs w:val="22"/>
          <w:lang w:val="es-ES" w:eastAsia="en-US"/>
        </w:rPr>
        <w:t xml:space="preserve"> Asimismo, asumirán las obligaciones derivadas de la </w:t>
      </w:r>
      <w:r w:rsidR="004D451B" w:rsidRPr="004D451B">
        <w:rPr>
          <w:rFonts w:ascii="Arial" w:eastAsiaTheme="minorHAnsi" w:hAnsi="Arial" w:cs="Arial"/>
          <w:bCs/>
          <w:sz w:val="22"/>
          <w:szCs w:val="22"/>
          <w:lang w:val="es-ES" w:eastAsia="en-US"/>
        </w:rPr>
        <w:t>Orden HFP/55/2023, de 24 de enero, relativa al análisis sistemático del riesgo de conflicto de interés en los procedimientos que ejecutan el Plan de Recuperación, Transformación y Resiliencia</w:t>
      </w:r>
    </w:p>
    <w:p w14:paraId="280B5E3B" w14:textId="15EC44BA" w:rsidR="00DD3807" w:rsidRPr="00B30385" w:rsidRDefault="00DD3807" w:rsidP="00DD3807">
      <w:pPr>
        <w:tabs>
          <w:tab w:val="left" w:pos="426"/>
        </w:tabs>
        <w:spacing w:line="276" w:lineRule="auto"/>
        <w:jc w:val="both"/>
        <w:rPr>
          <w:rFonts w:ascii="Arial" w:eastAsiaTheme="minorHAnsi" w:hAnsi="Arial" w:cs="Arial"/>
          <w:bCs/>
          <w:sz w:val="22"/>
          <w:szCs w:val="22"/>
          <w:lang w:val="es-ES" w:eastAsia="en-US"/>
        </w:rPr>
      </w:pPr>
    </w:p>
    <w:p w14:paraId="24155A3B" w14:textId="7F972BDC" w:rsidR="00F2226A" w:rsidRPr="00B30385" w:rsidRDefault="00F2226A">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El Ministerio de Industria, Comercio y Turismo realizará el seguimiento y control de la aplicación de los créditos, con objeto de comprobar el destino específico para el que fueron transferidos y su adecuada ejecución, según los mecanismos de verificación </w:t>
      </w:r>
      <w:r w:rsidR="00054EE2">
        <w:rPr>
          <w:rFonts w:ascii="Arial" w:eastAsiaTheme="minorHAnsi" w:hAnsi="Arial" w:cs="Arial"/>
          <w:bCs/>
          <w:sz w:val="22"/>
          <w:szCs w:val="22"/>
          <w:lang w:val="es-ES" w:eastAsia="en-US"/>
        </w:rPr>
        <w:t>establecidos.</w:t>
      </w:r>
    </w:p>
    <w:p w14:paraId="65243E8B" w14:textId="77777777" w:rsidR="004B7B6B" w:rsidRPr="00B30385" w:rsidRDefault="004B7B6B" w:rsidP="00D227DF">
      <w:pPr>
        <w:tabs>
          <w:tab w:val="left" w:pos="426"/>
        </w:tabs>
        <w:spacing w:line="276" w:lineRule="auto"/>
        <w:jc w:val="both"/>
        <w:rPr>
          <w:rFonts w:ascii="Arial" w:eastAsiaTheme="minorHAnsi" w:hAnsi="Arial" w:cs="Arial"/>
          <w:bCs/>
          <w:sz w:val="22"/>
          <w:szCs w:val="22"/>
          <w:lang w:val="es-ES" w:eastAsia="en-US"/>
        </w:rPr>
      </w:pPr>
    </w:p>
    <w:p w14:paraId="3A804C63" w14:textId="395A305C" w:rsidR="008007EA" w:rsidRPr="00B30385" w:rsidRDefault="00A83A9D" w:rsidP="00D227DF">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La ejecución y justificación de cada una de las intervenciones corresponderá al </w:t>
      </w:r>
      <w:r w:rsidR="00E954BA" w:rsidRPr="00B30385">
        <w:rPr>
          <w:rFonts w:ascii="Arial" w:eastAsiaTheme="minorHAnsi" w:hAnsi="Arial" w:cs="Arial"/>
          <w:bCs/>
          <w:sz w:val="22"/>
          <w:szCs w:val="22"/>
          <w:lang w:val="es-ES" w:eastAsia="en-US"/>
        </w:rPr>
        <w:t xml:space="preserve">órgano </w:t>
      </w:r>
      <w:r w:rsidR="00EF4652" w:rsidRPr="00B30385">
        <w:rPr>
          <w:rFonts w:ascii="Arial" w:eastAsiaTheme="minorHAnsi" w:hAnsi="Arial" w:cs="Arial"/>
          <w:bCs/>
          <w:sz w:val="22"/>
          <w:szCs w:val="22"/>
          <w:lang w:val="es-ES" w:eastAsia="en-US"/>
        </w:rPr>
        <w:t xml:space="preserve">gestor </w:t>
      </w:r>
      <w:r w:rsidR="00E954BA" w:rsidRPr="00B30385">
        <w:rPr>
          <w:rFonts w:ascii="Arial" w:eastAsiaTheme="minorHAnsi" w:hAnsi="Arial" w:cs="Arial"/>
          <w:bCs/>
          <w:sz w:val="22"/>
          <w:szCs w:val="22"/>
          <w:lang w:val="es-ES" w:eastAsia="en-US"/>
        </w:rPr>
        <w:t xml:space="preserve">de la entidad ejecutora </w:t>
      </w:r>
      <w:r w:rsidRPr="00B30385">
        <w:rPr>
          <w:rFonts w:ascii="Arial" w:eastAsiaTheme="minorHAnsi" w:hAnsi="Arial" w:cs="Arial"/>
          <w:bCs/>
          <w:sz w:val="22"/>
          <w:szCs w:val="22"/>
          <w:lang w:val="es-ES" w:eastAsia="en-US"/>
        </w:rPr>
        <w:t xml:space="preserve">destinado al efecto. La comunidad autónoma será la coordinadora </w:t>
      </w:r>
      <w:r w:rsidR="00B30385" w:rsidRPr="00B30385">
        <w:rPr>
          <w:rFonts w:ascii="Arial" w:eastAsiaTheme="minorHAnsi" w:hAnsi="Arial" w:cs="Arial"/>
          <w:bCs/>
          <w:sz w:val="22"/>
          <w:szCs w:val="22"/>
          <w:lang w:val="es-ES" w:eastAsia="en-US"/>
        </w:rPr>
        <w:t>de la ejecución y justificación</w:t>
      </w:r>
      <w:r w:rsidR="003F0A53" w:rsidRPr="00B30385">
        <w:rPr>
          <w:rFonts w:ascii="Arial" w:eastAsiaTheme="minorHAnsi" w:hAnsi="Arial" w:cs="Arial"/>
          <w:bCs/>
          <w:sz w:val="22"/>
          <w:szCs w:val="22"/>
          <w:lang w:val="es-ES" w:eastAsia="en-US"/>
        </w:rPr>
        <w:t xml:space="preserve"> de la totalidad del </w:t>
      </w:r>
      <w:r w:rsidRPr="00B30385">
        <w:rPr>
          <w:rFonts w:ascii="Arial" w:eastAsiaTheme="minorHAnsi" w:hAnsi="Arial" w:cs="Arial"/>
          <w:bCs/>
          <w:sz w:val="22"/>
          <w:szCs w:val="22"/>
          <w:lang w:val="es-ES" w:eastAsia="en-US"/>
        </w:rPr>
        <w:t>Plan Territorial, en la que participarán las entidades locales competentes de la gestión de los diferentes destinos.</w:t>
      </w:r>
    </w:p>
    <w:p w14:paraId="66FF4F66" w14:textId="77777777" w:rsidR="008007EA" w:rsidRPr="00B30385" w:rsidRDefault="008007EA" w:rsidP="00D227DF">
      <w:pPr>
        <w:tabs>
          <w:tab w:val="left" w:pos="426"/>
        </w:tabs>
        <w:spacing w:line="276" w:lineRule="auto"/>
        <w:ind w:left="426"/>
        <w:jc w:val="both"/>
        <w:rPr>
          <w:rFonts w:ascii="Arial" w:eastAsiaTheme="minorHAnsi" w:hAnsi="Arial" w:cs="Arial"/>
          <w:bCs/>
          <w:sz w:val="22"/>
          <w:szCs w:val="22"/>
          <w:lang w:val="es-ES" w:eastAsia="en-US"/>
        </w:rPr>
      </w:pPr>
    </w:p>
    <w:p w14:paraId="6B95E94C" w14:textId="207AF850" w:rsidR="00A83A9D" w:rsidRPr="00B30385" w:rsidRDefault="00DD3807" w:rsidP="00103341">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Se creará una Comisión de S</w:t>
      </w:r>
      <w:r w:rsidR="00A83A9D" w:rsidRPr="00B30385">
        <w:rPr>
          <w:rFonts w:ascii="Arial" w:eastAsiaTheme="minorHAnsi" w:hAnsi="Arial" w:cs="Arial"/>
          <w:bCs/>
          <w:sz w:val="22"/>
          <w:szCs w:val="22"/>
          <w:lang w:val="es-ES" w:eastAsia="en-US"/>
        </w:rPr>
        <w:t xml:space="preserve">eguimiento para cada Plan Territorial en la que participará la </w:t>
      </w:r>
      <w:r w:rsidR="0098655D" w:rsidRPr="00B30385">
        <w:rPr>
          <w:rFonts w:ascii="Arial" w:eastAsiaTheme="minorHAnsi" w:hAnsi="Arial" w:cs="Arial"/>
          <w:bCs/>
          <w:sz w:val="22"/>
          <w:szCs w:val="22"/>
          <w:lang w:val="es-ES" w:eastAsia="en-US"/>
        </w:rPr>
        <w:t>Secretaría de Estado de Turismo</w:t>
      </w:r>
      <w:r w:rsidR="00A83A9D" w:rsidRPr="00B30385">
        <w:rPr>
          <w:rFonts w:ascii="Arial" w:eastAsiaTheme="minorHAnsi" w:hAnsi="Arial" w:cs="Arial"/>
          <w:bCs/>
          <w:sz w:val="22"/>
          <w:szCs w:val="22"/>
          <w:lang w:val="es-ES" w:eastAsia="en-US"/>
        </w:rPr>
        <w:t xml:space="preserve"> y </w:t>
      </w:r>
      <w:r w:rsidR="0098655D" w:rsidRPr="00B30385">
        <w:rPr>
          <w:rFonts w:ascii="Arial" w:eastAsiaTheme="minorHAnsi" w:hAnsi="Arial" w:cs="Arial"/>
          <w:bCs/>
          <w:sz w:val="22"/>
          <w:szCs w:val="22"/>
          <w:lang w:val="es-ES" w:eastAsia="en-US"/>
        </w:rPr>
        <w:t>la comunidad a</w:t>
      </w:r>
      <w:r w:rsidRPr="00B30385">
        <w:rPr>
          <w:rFonts w:ascii="Arial" w:eastAsiaTheme="minorHAnsi" w:hAnsi="Arial" w:cs="Arial"/>
          <w:bCs/>
          <w:sz w:val="22"/>
          <w:szCs w:val="22"/>
          <w:lang w:val="es-ES" w:eastAsia="en-US"/>
        </w:rPr>
        <w:t>utónoma</w:t>
      </w:r>
      <w:r w:rsidR="003F0A53" w:rsidRPr="00B30385">
        <w:rPr>
          <w:rFonts w:ascii="Arial" w:eastAsiaTheme="minorHAnsi" w:hAnsi="Arial" w:cs="Arial"/>
          <w:bCs/>
          <w:sz w:val="22"/>
          <w:szCs w:val="22"/>
          <w:lang w:val="es-ES" w:eastAsia="en-US"/>
        </w:rPr>
        <w:t xml:space="preserve"> correspondiente</w:t>
      </w:r>
      <w:r w:rsidRPr="00B30385">
        <w:rPr>
          <w:rFonts w:ascii="Arial" w:eastAsiaTheme="minorHAnsi" w:hAnsi="Arial" w:cs="Arial"/>
          <w:bCs/>
          <w:sz w:val="22"/>
          <w:szCs w:val="22"/>
          <w:lang w:val="es-ES" w:eastAsia="en-US"/>
        </w:rPr>
        <w:t>. En esta C</w:t>
      </w:r>
      <w:r w:rsidR="00A83A9D" w:rsidRPr="00B30385">
        <w:rPr>
          <w:rFonts w:ascii="Arial" w:eastAsiaTheme="minorHAnsi" w:hAnsi="Arial" w:cs="Arial"/>
          <w:bCs/>
          <w:sz w:val="22"/>
          <w:szCs w:val="22"/>
          <w:lang w:val="es-ES" w:eastAsia="en-US"/>
        </w:rPr>
        <w:t>omisión se controlará el desarrollo de las inversiones, la ejecución del gasto y el cumplimiento de los hitos de cada una de las intervenciones que compongan el Plan Territorial. En dichas reuniones, podrán participar, cuando se trate el seguimiento de las diferentes intervenciones,</w:t>
      </w:r>
      <w:r w:rsidR="00944895" w:rsidRPr="00B30385">
        <w:rPr>
          <w:rFonts w:ascii="Arial" w:eastAsiaTheme="minorHAnsi" w:hAnsi="Arial" w:cs="Arial"/>
          <w:bCs/>
          <w:sz w:val="22"/>
          <w:szCs w:val="22"/>
          <w:lang w:val="es-ES" w:eastAsia="en-US"/>
        </w:rPr>
        <w:t xml:space="preserve"> y</w:t>
      </w:r>
      <w:r w:rsidR="00A83A9D" w:rsidRPr="00B30385">
        <w:rPr>
          <w:rFonts w:ascii="Arial" w:eastAsiaTheme="minorHAnsi" w:hAnsi="Arial" w:cs="Arial"/>
          <w:bCs/>
          <w:sz w:val="22"/>
          <w:szCs w:val="22"/>
          <w:lang w:val="es-ES" w:eastAsia="en-US"/>
        </w:rPr>
        <w:t xml:space="preserve"> </w:t>
      </w:r>
      <w:r w:rsidR="003F0A53" w:rsidRPr="00B30385">
        <w:rPr>
          <w:rFonts w:ascii="Arial" w:eastAsiaTheme="minorHAnsi" w:hAnsi="Arial" w:cs="Arial"/>
          <w:bCs/>
          <w:sz w:val="22"/>
          <w:szCs w:val="22"/>
          <w:lang w:val="es-ES" w:eastAsia="en-US"/>
        </w:rPr>
        <w:t xml:space="preserve">a petición de cualquiera de los dos miembros de la Comisión, </w:t>
      </w:r>
      <w:r w:rsidR="00A83A9D" w:rsidRPr="00B30385">
        <w:rPr>
          <w:rFonts w:ascii="Arial" w:eastAsiaTheme="minorHAnsi" w:hAnsi="Arial" w:cs="Arial"/>
          <w:bCs/>
          <w:sz w:val="22"/>
          <w:szCs w:val="22"/>
          <w:lang w:val="es-ES" w:eastAsia="en-US"/>
        </w:rPr>
        <w:t>las entida</w:t>
      </w:r>
      <w:r w:rsidR="00103341" w:rsidRPr="00B30385">
        <w:rPr>
          <w:rFonts w:ascii="Arial" w:eastAsiaTheme="minorHAnsi" w:hAnsi="Arial" w:cs="Arial"/>
          <w:bCs/>
          <w:sz w:val="22"/>
          <w:szCs w:val="22"/>
          <w:lang w:val="es-ES" w:eastAsia="en-US"/>
        </w:rPr>
        <w:t xml:space="preserve">des gestoras </w:t>
      </w:r>
      <w:r w:rsidR="00A83A9D" w:rsidRPr="00B30385">
        <w:rPr>
          <w:rFonts w:ascii="Arial" w:eastAsiaTheme="minorHAnsi" w:hAnsi="Arial" w:cs="Arial"/>
          <w:bCs/>
          <w:sz w:val="22"/>
          <w:szCs w:val="22"/>
          <w:lang w:val="es-ES" w:eastAsia="en-US"/>
        </w:rPr>
        <w:t xml:space="preserve">de los diferentes </w:t>
      </w:r>
      <w:r w:rsidR="0098655D" w:rsidRPr="00B30385">
        <w:rPr>
          <w:rFonts w:ascii="Arial" w:eastAsiaTheme="minorHAnsi" w:hAnsi="Arial" w:cs="Arial"/>
          <w:bCs/>
          <w:sz w:val="22"/>
          <w:szCs w:val="22"/>
          <w:lang w:val="es-ES" w:eastAsia="en-US"/>
        </w:rPr>
        <w:t>instrumentos de intervención</w:t>
      </w:r>
      <w:r w:rsidR="00A83A9D" w:rsidRPr="00B30385">
        <w:rPr>
          <w:rFonts w:ascii="Arial" w:eastAsiaTheme="minorHAnsi" w:hAnsi="Arial" w:cs="Arial"/>
          <w:bCs/>
          <w:sz w:val="22"/>
          <w:szCs w:val="22"/>
          <w:lang w:val="es-ES" w:eastAsia="en-US"/>
        </w:rPr>
        <w:t xml:space="preserve"> incluidos en el Plan Territorial para aclarar los aspectos que se consideren necesarios.</w:t>
      </w:r>
    </w:p>
    <w:p w14:paraId="7124025D" w14:textId="77777777" w:rsidR="00103341" w:rsidRPr="00B30385" w:rsidRDefault="00103341" w:rsidP="00103341">
      <w:pPr>
        <w:tabs>
          <w:tab w:val="left" w:pos="426"/>
        </w:tabs>
        <w:spacing w:line="276" w:lineRule="auto"/>
        <w:jc w:val="both"/>
        <w:rPr>
          <w:rFonts w:ascii="Arial" w:eastAsiaTheme="minorHAnsi" w:hAnsi="Arial" w:cs="Arial"/>
          <w:bCs/>
          <w:sz w:val="22"/>
          <w:szCs w:val="22"/>
          <w:lang w:val="es-ES" w:eastAsia="en-US"/>
        </w:rPr>
      </w:pPr>
    </w:p>
    <w:p w14:paraId="0D7BB06F" w14:textId="124812F5" w:rsidR="00A83A9D" w:rsidRPr="00B30385" w:rsidRDefault="002F1314" w:rsidP="00103341">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La Comisión de S</w:t>
      </w:r>
      <w:r w:rsidR="00A83A9D" w:rsidRPr="00B30385">
        <w:rPr>
          <w:rFonts w:ascii="Arial" w:eastAsiaTheme="minorHAnsi" w:hAnsi="Arial" w:cs="Arial"/>
          <w:bCs/>
          <w:sz w:val="22"/>
          <w:szCs w:val="22"/>
          <w:lang w:val="es-ES" w:eastAsia="en-US"/>
        </w:rPr>
        <w:t>eguimiento tendrá capacidad de modificar algunas de las actuaciones previstas, previa solicitud motivada del destino, siempre que respondan a la misma finalidad, así como de ajustar</w:t>
      </w:r>
      <w:r w:rsidR="003C6C45" w:rsidRPr="00B30385">
        <w:rPr>
          <w:rFonts w:ascii="Arial" w:eastAsiaTheme="minorHAnsi" w:hAnsi="Arial" w:cs="Arial"/>
          <w:bCs/>
          <w:sz w:val="22"/>
          <w:szCs w:val="22"/>
          <w:lang w:val="es-ES" w:eastAsia="en-US"/>
        </w:rPr>
        <w:t xml:space="preserve"> </w:t>
      </w:r>
      <w:r w:rsidR="00A83A9D" w:rsidRPr="00B30385">
        <w:rPr>
          <w:rFonts w:ascii="Arial" w:eastAsiaTheme="minorHAnsi" w:hAnsi="Arial" w:cs="Arial"/>
          <w:bCs/>
          <w:sz w:val="22"/>
          <w:szCs w:val="22"/>
          <w:lang w:val="es-ES" w:eastAsia="en-US"/>
        </w:rPr>
        <w:t>la distribución de remanentes</w:t>
      </w:r>
      <w:r w:rsidR="00E20EE9">
        <w:rPr>
          <w:rFonts w:ascii="Arial" w:eastAsiaTheme="minorHAnsi" w:hAnsi="Arial" w:cs="Arial"/>
          <w:bCs/>
          <w:sz w:val="22"/>
          <w:szCs w:val="22"/>
          <w:lang w:val="es-ES" w:eastAsia="en-US"/>
        </w:rPr>
        <w:t xml:space="preserve"> dentro de los propios ejes de intervención</w:t>
      </w:r>
      <w:r w:rsidR="00A83A9D" w:rsidRPr="00B30385">
        <w:rPr>
          <w:rFonts w:ascii="Arial" w:eastAsiaTheme="minorHAnsi" w:hAnsi="Arial" w:cs="Arial"/>
          <w:bCs/>
          <w:sz w:val="22"/>
          <w:szCs w:val="22"/>
          <w:lang w:val="es-ES" w:eastAsia="en-US"/>
        </w:rPr>
        <w:t xml:space="preserve">. </w:t>
      </w:r>
    </w:p>
    <w:p w14:paraId="08DA3FFD" w14:textId="77777777" w:rsidR="0038051A" w:rsidRPr="00B30385" w:rsidRDefault="0038051A" w:rsidP="00D227DF">
      <w:pPr>
        <w:tabs>
          <w:tab w:val="left" w:pos="426"/>
        </w:tabs>
        <w:spacing w:line="276" w:lineRule="auto"/>
        <w:ind w:left="426"/>
        <w:jc w:val="both"/>
        <w:rPr>
          <w:rFonts w:ascii="Arial" w:eastAsiaTheme="minorHAnsi" w:hAnsi="Arial" w:cs="Arial"/>
          <w:bCs/>
          <w:sz w:val="22"/>
          <w:szCs w:val="22"/>
          <w:lang w:val="es-ES" w:eastAsia="en-US"/>
        </w:rPr>
      </w:pPr>
      <w:r w:rsidRPr="00B30385">
        <w:rPr>
          <w:rFonts w:ascii="Arial" w:eastAsiaTheme="minorHAnsi" w:hAnsi="Arial" w:cs="Arial"/>
          <w:b/>
          <w:bCs/>
          <w:sz w:val="22"/>
          <w:szCs w:val="22"/>
          <w:lang w:val="es-ES" w:eastAsia="en-US"/>
        </w:rPr>
        <w:tab/>
      </w:r>
    </w:p>
    <w:p w14:paraId="4A182BBB" w14:textId="75822E15" w:rsidR="00242202" w:rsidRPr="00B30385" w:rsidRDefault="0038051A" w:rsidP="005D5562">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
          <w:bCs/>
          <w:sz w:val="22"/>
          <w:szCs w:val="22"/>
          <w:lang w:val="es-ES" w:eastAsia="en-US"/>
        </w:rPr>
        <w:t>Beneficiarios</w:t>
      </w:r>
      <w:r w:rsidR="005D5562" w:rsidRPr="00B30385">
        <w:rPr>
          <w:rFonts w:ascii="Arial" w:eastAsiaTheme="minorHAnsi" w:hAnsi="Arial" w:cs="Arial"/>
          <w:b/>
          <w:bCs/>
          <w:sz w:val="22"/>
          <w:szCs w:val="22"/>
          <w:lang w:val="es-ES" w:eastAsia="en-US"/>
        </w:rPr>
        <w:t xml:space="preserve"> y destinatarios finales</w:t>
      </w:r>
      <w:r w:rsidRPr="00B30385">
        <w:rPr>
          <w:rFonts w:ascii="Arial" w:eastAsiaTheme="minorHAnsi" w:hAnsi="Arial" w:cs="Arial"/>
          <w:b/>
          <w:bCs/>
          <w:sz w:val="22"/>
          <w:szCs w:val="22"/>
          <w:lang w:val="es-ES" w:eastAsia="en-US"/>
        </w:rPr>
        <w:t xml:space="preserve">: </w:t>
      </w:r>
      <w:r w:rsidRPr="00B30385">
        <w:rPr>
          <w:rFonts w:ascii="Arial" w:eastAsiaTheme="minorHAnsi" w:hAnsi="Arial" w:cs="Arial"/>
          <w:bCs/>
          <w:sz w:val="22"/>
          <w:szCs w:val="22"/>
          <w:lang w:val="es-ES" w:eastAsia="en-US"/>
        </w:rPr>
        <w:t>las beneficiarias de estas líneas de financiación son las comunidades</w:t>
      </w:r>
      <w:r w:rsidR="00242202" w:rsidRPr="00B30385">
        <w:rPr>
          <w:rFonts w:ascii="Arial" w:eastAsiaTheme="minorHAnsi" w:hAnsi="Arial" w:cs="Arial"/>
          <w:bCs/>
          <w:sz w:val="22"/>
          <w:szCs w:val="22"/>
          <w:lang w:val="es-ES" w:eastAsia="en-US"/>
        </w:rPr>
        <w:t xml:space="preserve"> autónomas</w:t>
      </w:r>
      <w:r w:rsidR="0098655D" w:rsidRPr="00B30385">
        <w:rPr>
          <w:rFonts w:ascii="Arial" w:eastAsiaTheme="minorHAnsi" w:hAnsi="Arial" w:cs="Arial"/>
          <w:bCs/>
          <w:sz w:val="22"/>
          <w:szCs w:val="22"/>
          <w:lang w:val="es-ES" w:eastAsia="en-US"/>
        </w:rPr>
        <w:t xml:space="preserve">, </w:t>
      </w:r>
      <w:r w:rsidR="00242202" w:rsidRPr="00B30385">
        <w:rPr>
          <w:rFonts w:ascii="Arial" w:eastAsiaTheme="minorHAnsi" w:hAnsi="Arial" w:cs="Arial"/>
          <w:bCs/>
          <w:sz w:val="22"/>
          <w:szCs w:val="22"/>
          <w:lang w:val="es-ES" w:eastAsia="en-US"/>
        </w:rPr>
        <w:t xml:space="preserve">si bien los destinatarios finales de las mismas </w:t>
      </w:r>
      <w:r w:rsidR="003C6C45" w:rsidRPr="00B30385">
        <w:rPr>
          <w:rFonts w:ascii="Arial" w:eastAsiaTheme="minorHAnsi" w:hAnsi="Arial" w:cs="Arial"/>
          <w:bCs/>
          <w:sz w:val="22"/>
          <w:szCs w:val="22"/>
          <w:lang w:val="es-ES" w:eastAsia="en-US"/>
        </w:rPr>
        <w:t>serán</w:t>
      </w:r>
      <w:r w:rsidR="00242202" w:rsidRPr="00B30385">
        <w:rPr>
          <w:rFonts w:ascii="Arial" w:eastAsiaTheme="minorHAnsi" w:hAnsi="Arial" w:cs="Arial"/>
          <w:bCs/>
          <w:sz w:val="22"/>
          <w:szCs w:val="22"/>
          <w:lang w:val="es-ES" w:eastAsia="en-US"/>
        </w:rPr>
        <w:t xml:space="preserve"> las entidades locales </w:t>
      </w:r>
      <w:r w:rsidR="003C6C45" w:rsidRPr="00B30385">
        <w:rPr>
          <w:rFonts w:ascii="Arial" w:eastAsiaTheme="minorHAnsi" w:hAnsi="Arial" w:cs="Arial"/>
          <w:bCs/>
          <w:sz w:val="22"/>
          <w:szCs w:val="22"/>
          <w:lang w:val="es-ES" w:eastAsia="en-US"/>
        </w:rPr>
        <w:t>ejecutoras de los Planes de Sostenibilidad Turística en Destino</w:t>
      </w:r>
      <w:r w:rsidR="00B30385" w:rsidRPr="00B30385">
        <w:rPr>
          <w:rFonts w:ascii="Arial" w:eastAsiaTheme="minorHAnsi" w:hAnsi="Arial" w:cs="Arial"/>
          <w:bCs/>
          <w:sz w:val="22"/>
          <w:szCs w:val="22"/>
          <w:lang w:val="es-ES" w:eastAsia="en-US"/>
        </w:rPr>
        <w:t>s</w:t>
      </w:r>
      <w:r w:rsidR="00980F4D">
        <w:rPr>
          <w:rFonts w:ascii="Arial" w:eastAsiaTheme="minorHAnsi" w:hAnsi="Arial" w:cs="Arial"/>
          <w:bCs/>
          <w:sz w:val="22"/>
          <w:szCs w:val="22"/>
          <w:lang w:val="es-ES" w:eastAsia="en-US"/>
        </w:rPr>
        <w:t>,</w:t>
      </w:r>
      <w:r w:rsidR="003C6C45" w:rsidRPr="00B30385">
        <w:rPr>
          <w:rFonts w:ascii="Arial" w:eastAsiaTheme="minorHAnsi" w:hAnsi="Arial" w:cs="Arial"/>
          <w:bCs/>
          <w:sz w:val="22"/>
          <w:szCs w:val="22"/>
          <w:lang w:val="es-ES" w:eastAsia="en-US"/>
        </w:rPr>
        <w:t xml:space="preserve"> así como las entidades locales en las que se realizan las Actuaciones de Cohesión entre Destinos, conforme lo indicado en la tabla 2 de este documento.</w:t>
      </w:r>
    </w:p>
    <w:p w14:paraId="41414266" w14:textId="77777777" w:rsidR="005D5562" w:rsidRPr="00B30385" w:rsidRDefault="005D5562" w:rsidP="005D5562">
      <w:pPr>
        <w:pStyle w:val="Default"/>
        <w:spacing w:line="276" w:lineRule="auto"/>
        <w:rPr>
          <w:sz w:val="22"/>
          <w:szCs w:val="22"/>
        </w:rPr>
      </w:pPr>
    </w:p>
    <w:p w14:paraId="5C59C1E0" w14:textId="6357AC59" w:rsidR="005D5562" w:rsidRPr="00B30385" w:rsidRDefault="005D5562" w:rsidP="005D5562">
      <w:pPr>
        <w:pStyle w:val="Default"/>
        <w:spacing w:line="276" w:lineRule="auto"/>
        <w:jc w:val="both"/>
        <w:rPr>
          <w:sz w:val="22"/>
          <w:szCs w:val="22"/>
        </w:rPr>
      </w:pPr>
      <w:r w:rsidRPr="00B30385">
        <w:rPr>
          <w:sz w:val="22"/>
          <w:szCs w:val="22"/>
        </w:rPr>
        <w:t>En todo caso</w:t>
      </w:r>
      <w:r w:rsidR="00B1186A" w:rsidRPr="00B30385">
        <w:rPr>
          <w:sz w:val="22"/>
          <w:szCs w:val="22"/>
        </w:rPr>
        <w:t>,</w:t>
      </w:r>
      <w:r w:rsidRPr="00B30385">
        <w:rPr>
          <w:sz w:val="22"/>
          <w:szCs w:val="22"/>
        </w:rPr>
        <w:t xml:space="preserve"> </w:t>
      </w:r>
      <w:r w:rsidR="005402F0" w:rsidRPr="00B30385">
        <w:rPr>
          <w:sz w:val="22"/>
          <w:szCs w:val="22"/>
        </w:rPr>
        <w:t xml:space="preserve">las comunidades autónomas </w:t>
      </w:r>
      <w:r w:rsidRPr="00B30385">
        <w:rPr>
          <w:sz w:val="22"/>
          <w:szCs w:val="22"/>
        </w:rPr>
        <w:t>deberán establecer mecanismos que aseguren que las medidas a desarrollar por los beneficiarios finales</w:t>
      </w:r>
      <w:r w:rsidR="00B1186A" w:rsidRPr="00B30385">
        <w:rPr>
          <w:sz w:val="22"/>
          <w:szCs w:val="22"/>
        </w:rPr>
        <w:t>,</w:t>
      </w:r>
      <w:r w:rsidRPr="00B30385">
        <w:rPr>
          <w:sz w:val="22"/>
          <w:szCs w:val="22"/>
        </w:rPr>
        <w:t xml:space="preserve"> en el caso</w:t>
      </w:r>
      <w:r w:rsidR="00B1186A" w:rsidRPr="00B30385">
        <w:rPr>
          <w:sz w:val="22"/>
          <w:szCs w:val="22"/>
        </w:rPr>
        <w:t xml:space="preserve"> de</w:t>
      </w:r>
      <w:r w:rsidRPr="00B30385">
        <w:rPr>
          <w:sz w:val="22"/>
          <w:szCs w:val="22"/>
        </w:rPr>
        <w:t xml:space="preserve"> que sean terceros</w:t>
      </w:r>
      <w:r w:rsidR="00B1186A" w:rsidRPr="00B30385">
        <w:rPr>
          <w:sz w:val="22"/>
          <w:szCs w:val="22"/>
        </w:rPr>
        <w:t>,</w:t>
      </w:r>
      <w:r w:rsidRPr="00B30385">
        <w:rPr>
          <w:sz w:val="22"/>
          <w:szCs w:val="22"/>
        </w:rPr>
        <w:t xml:space="preserve"> contribuyen al logro de los </w:t>
      </w:r>
      <w:r w:rsidR="00E954BA" w:rsidRPr="00B30385">
        <w:rPr>
          <w:sz w:val="22"/>
          <w:szCs w:val="22"/>
        </w:rPr>
        <w:t xml:space="preserve">hitos y </w:t>
      </w:r>
      <w:r w:rsidRPr="00B30385">
        <w:rPr>
          <w:sz w:val="22"/>
          <w:szCs w:val="22"/>
        </w:rPr>
        <w:t>objetivos previstos</w:t>
      </w:r>
      <w:r w:rsidR="00E954BA" w:rsidRPr="00B30385">
        <w:rPr>
          <w:sz w:val="22"/>
          <w:szCs w:val="22"/>
        </w:rPr>
        <w:t xml:space="preserve"> en tiempo y forma</w:t>
      </w:r>
      <w:r w:rsidRPr="00B30385">
        <w:rPr>
          <w:sz w:val="22"/>
          <w:szCs w:val="22"/>
        </w:rPr>
        <w:t xml:space="preserve"> y que aportan la información que, en su caso, fuera necesaria para determinar el valor de los indicadores. La financiación a terceros debe vincularse al logro de los </w:t>
      </w:r>
      <w:r w:rsidR="00516B8C" w:rsidRPr="00B30385">
        <w:rPr>
          <w:sz w:val="22"/>
          <w:szCs w:val="22"/>
        </w:rPr>
        <w:t xml:space="preserve">hitos y </w:t>
      </w:r>
      <w:r w:rsidRPr="00B30385">
        <w:rPr>
          <w:sz w:val="22"/>
          <w:szCs w:val="22"/>
        </w:rPr>
        <w:t>objetivos que se persiguen.</w:t>
      </w:r>
    </w:p>
    <w:p w14:paraId="6A67F681" w14:textId="77777777" w:rsidR="005D5562" w:rsidRPr="00B30385" w:rsidRDefault="005D5562" w:rsidP="005D5562">
      <w:pPr>
        <w:pStyle w:val="Default"/>
        <w:spacing w:line="276" w:lineRule="auto"/>
        <w:jc w:val="both"/>
        <w:rPr>
          <w:sz w:val="22"/>
          <w:szCs w:val="22"/>
        </w:rPr>
      </w:pPr>
    </w:p>
    <w:p w14:paraId="17238B30" w14:textId="77777777" w:rsidR="004B7B6B" w:rsidRPr="00B30385" w:rsidRDefault="004B7B6B" w:rsidP="00D227DF">
      <w:pPr>
        <w:tabs>
          <w:tab w:val="left" w:pos="426"/>
        </w:tabs>
        <w:spacing w:line="276" w:lineRule="auto"/>
        <w:jc w:val="both"/>
        <w:rPr>
          <w:rFonts w:ascii="Arial" w:eastAsiaTheme="minorHAnsi" w:hAnsi="Arial" w:cs="Arial"/>
          <w:b/>
          <w:bCs/>
          <w:sz w:val="22"/>
          <w:szCs w:val="22"/>
          <w:lang w:val="es-ES" w:eastAsia="en-US"/>
        </w:rPr>
      </w:pPr>
    </w:p>
    <w:p w14:paraId="1261F30A" w14:textId="71038EF9" w:rsidR="003E2905" w:rsidRDefault="0038051A" w:rsidP="003E2905">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
          <w:bCs/>
          <w:sz w:val="22"/>
          <w:szCs w:val="22"/>
          <w:lang w:val="es-ES" w:eastAsia="en-US"/>
        </w:rPr>
        <w:t xml:space="preserve">Gastos de implementación: </w:t>
      </w:r>
      <w:r w:rsidR="003E2905" w:rsidRPr="003E2905">
        <w:rPr>
          <w:rFonts w:ascii="Arial" w:eastAsiaTheme="minorHAnsi" w:hAnsi="Arial" w:cs="Arial"/>
          <w:bCs/>
          <w:sz w:val="22"/>
          <w:szCs w:val="22"/>
          <w:lang w:val="es-ES" w:eastAsia="en-US"/>
        </w:rPr>
        <w:t>Las actuaciones financiables incluidas en ambas líneas de inversión deberán cumplir la finalidad, criterios, plazos, objetivos e hitos incluidos en la Decisión de Implementación del Consejo (CID). Los beneficiarios de las inversiones estarán obligados a crear en España todo el empleo necesario para la realización de la actividad, que se realizará con personal contratado y afiliado a la Seguridad Social en el territorio nacional. El cumplimiento de este requisito tendrá que justificarse documentalmente.</w:t>
      </w:r>
    </w:p>
    <w:p w14:paraId="3090D175"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p>
    <w:p w14:paraId="52B57862"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En lo referente a los objetivos de soberanía digital y autonomía estratégica de la UE, entre las actuaciones que se recogen en los planes se encuentran varias que contribuyen al cumplimiento del Eje 3 del PRTR. Actuaciones en el ámbito de la transición digital. Las actuaciones elegibles dentro de los planes incluyen, entre otras:</w:t>
      </w:r>
    </w:p>
    <w:p w14:paraId="16D838D2" w14:textId="5218FC40" w:rsidR="003E2905" w:rsidRPr="003E2905" w:rsidRDefault="003E2905" w:rsidP="003E2905">
      <w:pPr>
        <w:pStyle w:val="Prrafodelista"/>
        <w:numPr>
          <w:ilvl w:val="0"/>
          <w:numId w:val="23"/>
        </w:numPr>
        <w:tabs>
          <w:tab w:val="left" w:pos="426"/>
        </w:tabs>
        <w:spacing w:line="276" w:lineRule="auto"/>
        <w:jc w:val="both"/>
        <w:rPr>
          <w:rFonts w:ascii="Arial" w:hAnsi="Arial" w:cs="Arial"/>
          <w:bCs/>
        </w:rPr>
      </w:pPr>
      <w:r w:rsidRPr="003E2905">
        <w:rPr>
          <w:rFonts w:ascii="Arial" w:hAnsi="Arial" w:cs="Arial"/>
          <w:bCs/>
        </w:rPr>
        <w:t>Comunicación y acceso de recursos y servicios al turista en destino tales como Plataformas, webs, apps o herramientas digitales al servicio de la inspiración, promoción y/o comercialización turística.</w:t>
      </w:r>
    </w:p>
    <w:p w14:paraId="00089561" w14:textId="155A739D" w:rsidR="003E2905" w:rsidRPr="003E2905" w:rsidRDefault="003E2905" w:rsidP="003E2905">
      <w:pPr>
        <w:pStyle w:val="Prrafodelista"/>
        <w:numPr>
          <w:ilvl w:val="0"/>
          <w:numId w:val="23"/>
        </w:numPr>
        <w:tabs>
          <w:tab w:val="left" w:pos="426"/>
        </w:tabs>
        <w:spacing w:line="276" w:lineRule="auto"/>
        <w:jc w:val="both"/>
        <w:rPr>
          <w:rFonts w:ascii="Arial" w:hAnsi="Arial" w:cs="Arial"/>
          <w:bCs/>
        </w:rPr>
      </w:pPr>
      <w:r w:rsidRPr="003E2905">
        <w:rPr>
          <w:rFonts w:ascii="Arial" w:hAnsi="Arial" w:cs="Arial"/>
          <w:bCs/>
        </w:rPr>
        <w:t>Desarrollo de plataformas y sistemas de inteligencia turística en destino, que integren soluciones de Big Data y de Inteligencia Artificial.</w:t>
      </w:r>
    </w:p>
    <w:p w14:paraId="6457497B" w14:textId="307B01C6" w:rsid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Se adquiere, además, el compromiso de adquisición preferente de tecnología europea en el desarrollo de los planes, respetando, en todo caso, la normativa nacional e internacional en materia de política comercial.</w:t>
      </w:r>
    </w:p>
    <w:p w14:paraId="79FFC64B"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p>
    <w:p w14:paraId="03AAEA13" w14:textId="7724EA90" w:rsid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Más específicamente, las actuaciones estarán referidas a los tipos de actuaciones que se incluyan en los Planes Territoriales de Sostenibilidad Turística, según lo establecido en el apartado 6 de la Estrategia de Sostenibilidad Turística en Destinos. Según el citado apartado, las actuaciones elegibles se enmarcan en los cuatro ejes de actuación relacionados con el PRTR y son las siguientes (enumeración no exhaustiva):</w:t>
      </w:r>
    </w:p>
    <w:p w14:paraId="5E478C8C"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p>
    <w:p w14:paraId="4EE29BB7"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EJE 1. Actuaciones en el ámbito de la transición verde y sostenible: este eje comprende actuaciones de restauración ambiental, gestión de espacios naturales, acciones de implantación de economía circular, rehabilitación sostenible de edificios y actuaciones de adaptación al cambio climático:</w:t>
      </w:r>
    </w:p>
    <w:p w14:paraId="667C99E3"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 xml:space="preserve">Restauración ambiental. </w:t>
      </w:r>
    </w:p>
    <w:p w14:paraId="55289492"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Adaptación al cambio climático del destino y sus infraestructuras, previo análisis de los riesgos climáticos del destino y sus infraestructuras bajos los diferentes escenarios de cambio climático.</w:t>
      </w:r>
    </w:p>
    <w:p w14:paraId="10D88F97"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Implantación de medidas de economía circular en servicios públicos.</w:t>
      </w:r>
    </w:p>
    <w:p w14:paraId="5F095292"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Gestión del uso público en espacios naturales.</w:t>
      </w:r>
    </w:p>
    <w:p w14:paraId="03B18628" w14:textId="7742EE72" w:rsid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Puesta en valor de servicios ecosistémicos.</w:t>
      </w:r>
    </w:p>
    <w:p w14:paraId="5DC2919C"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p>
    <w:p w14:paraId="4C745B36"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EJE 2. Actuaciones de mejora de la eficiencia energética: comprende actuaciones de eficiencia energética incluyendo las de mitigación del cambio climático, actuaciones orientadas a la reducción de la energía requerida para proporcionar productos y servicios turísticos, limitando la contaminación por carbono y estimulando la transición hacia energías renovables así como actuaciones de movilidad sostenible:</w:t>
      </w:r>
    </w:p>
    <w:p w14:paraId="26DC06AD"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Mitigación del cambio climático.</w:t>
      </w:r>
    </w:p>
    <w:p w14:paraId="61F8EF71"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 xml:space="preserve">Descarbonización. </w:t>
      </w:r>
    </w:p>
    <w:p w14:paraId="26069EAA"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 xml:space="preserve">Movilidad sostenible. </w:t>
      </w:r>
    </w:p>
    <w:p w14:paraId="6701A6B6" w14:textId="69588DA1" w:rsid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Infraestructura ciclista y adecuación de itinerarios no motorizados.</w:t>
      </w:r>
    </w:p>
    <w:p w14:paraId="053E580C"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p>
    <w:p w14:paraId="456594D8"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EJE 3. Actuaciones en el ámbito de la transición digital: comprende todas aquellas actuaciones que faciliten la mejora continua de los procesos incluidos en la cadena de valor turística mediante el uso de la tecnología:</w:t>
      </w:r>
    </w:p>
    <w:p w14:paraId="650BFE8E"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 Comunicación y acceso de recursos y servicios al turista en destino.</w:t>
      </w:r>
    </w:p>
    <w:p w14:paraId="1831707E"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 Gestión del impacto que genera el turismo en el destino:</w:t>
      </w:r>
    </w:p>
    <w:p w14:paraId="3BB5629F"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 xml:space="preserve">- Desarrollo de plataformas y sistemas de inteligencia turística en destino, que integren soluciones de Big Data y de Inteligencia Artificial. </w:t>
      </w:r>
    </w:p>
    <w:p w14:paraId="3895473A" w14:textId="5EA5AC25"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 xml:space="preserve">- Acciones en materia de dinamización del sector turístico. </w:t>
      </w:r>
    </w:p>
    <w:p w14:paraId="51DA5143" w14:textId="43E42E9D" w:rsid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 Gobernanza pública y su acceso a tecnología.</w:t>
      </w:r>
    </w:p>
    <w:p w14:paraId="23DD1C45"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p>
    <w:p w14:paraId="3F6C6556"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EJE 4. Actuaciones en el ámbito de la competitividad: comprende todas aquellas acciones de creación de oferta, mejora del producto, creación de equipamientos, embellecimiento de espacios públicos, así como todo lo relacionado con la mejora constante de la gestión del destino:</w:t>
      </w:r>
    </w:p>
    <w:p w14:paraId="3C786098"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 xml:space="preserve">Comunicación y sensibilización de residentes y de turistas. </w:t>
      </w:r>
    </w:p>
    <w:p w14:paraId="711E8494"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Actuaciones de mejora del entorno urbano.</w:t>
      </w:r>
    </w:p>
    <w:p w14:paraId="3AD1080B"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 xml:space="preserve">Reconversión de zonas turísticas. </w:t>
      </w:r>
    </w:p>
    <w:p w14:paraId="002E6597"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 xml:space="preserve">Inventarios de recursos turísticos. </w:t>
      </w:r>
    </w:p>
    <w:p w14:paraId="0EFC124C"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Certificaciones de sostenibilidad.</w:t>
      </w:r>
    </w:p>
    <w:p w14:paraId="7756A92D"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Creación de nueva oferta turística.</w:t>
      </w:r>
    </w:p>
    <w:p w14:paraId="52A51B10"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Mejora de la accesibilidad.</w:t>
      </w:r>
    </w:p>
    <w:p w14:paraId="230C20A3"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Creación de equipamientos de turismo activo.</w:t>
      </w:r>
    </w:p>
    <w:p w14:paraId="234CCF4E"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 xml:space="preserve">Gestión de equipamientos para servicios turísticos. </w:t>
      </w:r>
    </w:p>
    <w:p w14:paraId="54B99EC1"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 xml:space="preserve">Puesta en valor de productos locales para el turismo. </w:t>
      </w:r>
    </w:p>
    <w:p w14:paraId="700C2D86"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Programas y protocolos de seguridad e higiene.</w:t>
      </w:r>
    </w:p>
    <w:p w14:paraId="1E3B5E99"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Funcionamiento del ente gestor del destino turístico.</w:t>
      </w:r>
    </w:p>
    <w:p w14:paraId="66A8E33B"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Sistemas de evaluación de resultados.</w:t>
      </w:r>
    </w:p>
    <w:p w14:paraId="78222B7E"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Mejora de la Calidad del Destino.</w:t>
      </w:r>
    </w:p>
    <w:p w14:paraId="2FF44E63" w14:textId="77777777" w:rsidR="003E2905" w:rsidRDefault="003E2905" w:rsidP="003E2905">
      <w:pPr>
        <w:tabs>
          <w:tab w:val="left" w:pos="426"/>
        </w:tabs>
        <w:spacing w:line="276" w:lineRule="auto"/>
        <w:jc w:val="both"/>
        <w:rPr>
          <w:rFonts w:ascii="Arial" w:eastAsiaTheme="minorHAnsi" w:hAnsi="Arial" w:cs="Arial"/>
          <w:bCs/>
          <w:sz w:val="22"/>
          <w:szCs w:val="22"/>
          <w:lang w:val="es-ES" w:eastAsia="en-US"/>
        </w:rPr>
      </w:pPr>
    </w:p>
    <w:p w14:paraId="51EB718A" w14:textId="6217390B"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De acuerdo a lo establecido en el apartado 8.2.2. de la Estrategia de Sostenibilidad Turística en Destino, cada una de las intervenciones incluidas en el Plan Territorial deberá:</w:t>
      </w:r>
    </w:p>
    <w:p w14:paraId="506FA335"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1)</w:t>
      </w:r>
      <w:r w:rsidRPr="003E2905">
        <w:rPr>
          <w:rFonts w:ascii="Arial" w:eastAsiaTheme="minorHAnsi" w:hAnsi="Arial" w:cs="Arial"/>
          <w:bCs/>
          <w:sz w:val="22"/>
          <w:szCs w:val="22"/>
          <w:lang w:val="es-ES" w:eastAsia="en-US"/>
        </w:rPr>
        <w:tab/>
        <w:t>Destinar como mínimo el 7,5% de su presupuesto a actuaciones que tengan reconocido el 100% de contribución a objetivos climáticos del Eje 1.</w:t>
      </w:r>
    </w:p>
    <w:p w14:paraId="65D50D8E"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2)</w:t>
      </w:r>
      <w:r w:rsidRPr="003E2905">
        <w:rPr>
          <w:rFonts w:ascii="Arial" w:eastAsiaTheme="minorHAnsi" w:hAnsi="Arial" w:cs="Arial"/>
          <w:bCs/>
          <w:sz w:val="22"/>
          <w:szCs w:val="22"/>
          <w:lang w:val="es-ES" w:eastAsia="en-US"/>
        </w:rPr>
        <w:tab/>
        <w:t>Destinar como mínimo el 7,5% de su presupuesto a actuaciones que tengan reconocido el 40% de contribución a objetivos climáticos del Eje 1.</w:t>
      </w:r>
    </w:p>
    <w:p w14:paraId="3975F09B"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3)</w:t>
      </w:r>
      <w:r w:rsidRPr="003E2905">
        <w:rPr>
          <w:rFonts w:ascii="Arial" w:eastAsiaTheme="minorHAnsi" w:hAnsi="Arial" w:cs="Arial"/>
          <w:bCs/>
          <w:sz w:val="22"/>
          <w:szCs w:val="22"/>
          <w:lang w:val="es-ES" w:eastAsia="en-US"/>
        </w:rPr>
        <w:tab/>
        <w:t>Destinar como mínimo el 20% de su presupuesto a actuaciones que tengan reconocido el 100% de contribución a objetivos climáticos del Eje 2.</w:t>
      </w:r>
    </w:p>
    <w:p w14:paraId="32A77B2D" w14:textId="77777777" w:rsidR="007F1F5A" w:rsidRDefault="007F1F5A" w:rsidP="007F1F5A">
      <w:pPr>
        <w:spacing w:after="160" w:line="256" w:lineRule="auto"/>
        <w:jc w:val="both"/>
        <w:rPr>
          <w:rFonts w:ascii="Arial" w:hAnsi="Arial"/>
          <w:color w:val="000000"/>
        </w:rPr>
      </w:pPr>
    </w:p>
    <w:p w14:paraId="057D5CBD" w14:textId="3BE3F129" w:rsidR="007F1F5A" w:rsidRPr="004D451B" w:rsidRDefault="007F1F5A" w:rsidP="004D451B">
      <w:pPr>
        <w:spacing w:after="160" w:line="276" w:lineRule="auto"/>
        <w:jc w:val="both"/>
        <w:rPr>
          <w:rFonts w:ascii="Arial" w:hAnsi="Arial"/>
          <w:color w:val="000000"/>
          <w:sz w:val="22"/>
          <w:szCs w:val="22"/>
        </w:rPr>
      </w:pPr>
      <w:r w:rsidRPr="004D451B">
        <w:rPr>
          <w:rFonts w:ascii="Arial" w:hAnsi="Arial"/>
          <w:color w:val="000000"/>
          <w:sz w:val="22"/>
          <w:szCs w:val="22"/>
        </w:rPr>
        <w:t>Podrán incluirse entre las actividades financiables aquellas que implementen los objetivos y acciones del Plan Sectorial de Turismo de Naturaleza y Biodiversidad, impulsando, entre otras acciones, el Sistema de reconocimiento de la sostenibilidad del turismo de naturaleza en la Red Natura 2000.</w:t>
      </w:r>
    </w:p>
    <w:p w14:paraId="79FC702A" w14:textId="77777777" w:rsidR="003E2905" w:rsidRDefault="003E2905" w:rsidP="003E2905">
      <w:pPr>
        <w:tabs>
          <w:tab w:val="left" w:pos="426"/>
        </w:tabs>
        <w:spacing w:line="276" w:lineRule="auto"/>
        <w:jc w:val="both"/>
        <w:rPr>
          <w:rFonts w:ascii="Arial" w:eastAsiaTheme="minorHAnsi" w:hAnsi="Arial" w:cs="Arial"/>
          <w:bCs/>
          <w:sz w:val="22"/>
          <w:szCs w:val="22"/>
          <w:lang w:val="es-ES" w:eastAsia="en-US"/>
        </w:rPr>
      </w:pPr>
    </w:p>
    <w:p w14:paraId="7C9C32FC" w14:textId="1464CC40"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En cualquier caso, no serán financiables las actividades incluidas en lista de exclusión establecida en la Decisión de Ejecución del Consejo para esta inversión, indicando que no serán financiables:</w:t>
      </w:r>
    </w:p>
    <w:p w14:paraId="0F5CF518"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 xml:space="preserve"> i)</w:t>
      </w:r>
      <w:r w:rsidRPr="003E2905">
        <w:rPr>
          <w:rFonts w:ascii="Arial" w:eastAsiaTheme="minorHAnsi" w:hAnsi="Arial" w:cs="Arial"/>
          <w:bCs/>
          <w:sz w:val="22"/>
          <w:szCs w:val="22"/>
          <w:lang w:val="es-ES" w:eastAsia="en-US"/>
        </w:rPr>
        <w:tab/>
        <w:t>las actividades relacionadas con los combustibles fósiles, incluida la utilización ulterior de los mismos (excepto los proyectos en el marco de esta medida relacionados con la generación de electricidad y/o calor utilizando gas natural, así como con la infraestructura de transporte y distribución conexa, que cumplan las condiciones establecidas en el anexo III de la Guía técnica sobre la aplicación del principio de «no causar un perjuicio significativo);</w:t>
      </w:r>
    </w:p>
    <w:p w14:paraId="7C3363D2"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ii)</w:t>
      </w:r>
      <w:r w:rsidRPr="003E2905">
        <w:rPr>
          <w:rFonts w:ascii="Arial" w:eastAsiaTheme="minorHAnsi" w:hAnsi="Arial" w:cs="Arial"/>
          <w:bCs/>
          <w:sz w:val="22"/>
          <w:szCs w:val="22"/>
          <w:lang w:val="es-ES" w:eastAsia="en-US"/>
        </w:rPr>
        <w:tab/>
        <w:t>las actividades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pertinentes, deberá facilitarse una explicación motivada al respecto. Parámetros de referencia establecidos para la asignación gratuita de derechos de emisión en relación con las actividades que se inscriben en el ámbito de aplicación del régimen de comercio de derechos de emisión, según lo establecido en el Reglamento de Ejecución (UE) 2021/447 de la Comisión;</w:t>
      </w:r>
    </w:p>
    <w:p w14:paraId="5A8961C7"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iii)</w:t>
      </w:r>
      <w:r w:rsidRPr="003E2905">
        <w:rPr>
          <w:rFonts w:ascii="Arial" w:eastAsiaTheme="minorHAnsi" w:hAnsi="Arial" w:cs="Arial"/>
          <w:bCs/>
          <w:sz w:val="22"/>
          <w:szCs w:val="22"/>
          <w:lang w:val="es-ES" w:eastAsia="en-US"/>
        </w:rPr>
        <w:tab/>
        <w:t>las actividades relacionadas con vertederos de residuos, incineradoras (esta exclusión no se aplica a las acciones emprendidas en el marco de esta medida en plantas dedicadas exclusivamente al tratamiento de residuos peligrosos no reciclables, ni a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por cada planta) y plantas de tratamiento mecánico-biológico (esta exclusión no se aplica a las acciones emprendidas en el marco de esta medida en las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por cada planta).</w:t>
      </w:r>
    </w:p>
    <w:p w14:paraId="6378FE1C"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iv)</w:t>
      </w:r>
      <w:r w:rsidRPr="003E2905">
        <w:rPr>
          <w:rFonts w:ascii="Arial" w:eastAsiaTheme="minorHAnsi" w:hAnsi="Arial" w:cs="Arial"/>
          <w:bCs/>
          <w:sz w:val="22"/>
          <w:szCs w:val="22"/>
          <w:lang w:val="es-ES" w:eastAsia="en-US"/>
        </w:rPr>
        <w:tab/>
        <w:t xml:space="preserve"> las actividades en las que la eliminación a largo plazo de residuos pueda causar daños al medio ambiente.</w:t>
      </w:r>
    </w:p>
    <w:p w14:paraId="33B96AD0"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p>
    <w:p w14:paraId="6B4383F4"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Asimismo, tal y como se establece en el apartado 8 del Componente 14 del PRTR para las actuaciones que impliquen rehabilitación, equipamientos, infraestructuras, etc. se tendrán en cuenta las siguientes condiciones específicas del DNSH:</w:t>
      </w:r>
    </w:p>
    <w:p w14:paraId="182A120B"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p>
    <w:p w14:paraId="2102E0C7"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Para prevención y el control de la contaminación:</w:t>
      </w:r>
    </w:p>
    <w:p w14:paraId="0675EF4A"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“Se va a realizar una evaluación de impacto ambiental de cada una de las inversiones de la medida de acuerdo con la Directiva de la EIA y la normativa nacional de evaluación de impacto ambiental, y se identificarán e incluirán en el diseño de cada proyecto todas las medidas de mitigación necesarias para la prevención y el control de la contaminación del suelo y del agua.</w:t>
      </w:r>
    </w:p>
    <w:p w14:paraId="756997D0"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Los componentes y materiales de construcción utilizados en la construcción no contendrán amianto ni sustancias muy preocupantes identificadas sobre la base de la lista de sustancias sujetas a autorización que figura en el anexo XIV del Reglamento (CE) 1907/2006 del Parlamento Europeo y del Consejo. Los componentes y materiales de construcción utilizados en la construcción que puedan entrar en contacto con los usuarios emitirán menos de 0,06 mg de formaldehído por m³ de material o componente y menos de 0,001 mg de compuestos orgánicos volátiles cancerígenos de categorías 1A y 1B por m³ de material o componente, previa prueba de acuerdo con CEN / TS 16516 e ISO 16000-3 u otras condiciones de prueba estandarizadas y métodos de determinación comparables. Además, se adoptarán medidas para reducir el ruido, el polvo y las emisiones contaminantes durante la fase de obra y se ejecutarán las actuaciones asociadas a esta medida siempre cumpliendo la normativa de aplicación vigente en cuanto la posible contaminación de suelos y agua.”</w:t>
      </w:r>
    </w:p>
    <w:p w14:paraId="6EF1EDA9"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p>
    <w:p w14:paraId="52376A33" w14:textId="5BB5C8AC"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Para la protección y restauración de la biodiversidad y los ecosistemas</w:t>
      </w:r>
    </w:p>
    <w:p w14:paraId="32F1FF78"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“Cuando las actuaciones de rehabilitación tengan lugar en áreas sensibles a la biodiversidad (incluida la red Natura 2000 de áreas protegidas, sitios del Patrimonio Mundial de la UNESCO y áreas clave para la biodiversidad, así como otras áreas protegidas) o en áreas próximas, se requerirá el cumplimiento de los artículos 6 (3) y 12 de la Directiva de hábitats y el artículo 5 de la Directiva de aves. Además, cuando sea preceptivo, se llevará a cabo una Evaluación de Impacto Ambiental (EIA) de acuerdo con la Directiva EIA.”</w:t>
      </w:r>
    </w:p>
    <w:p w14:paraId="08E26960"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p>
    <w:p w14:paraId="70F145FD"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Para mitigación del cambio climático:</w:t>
      </w:r>
    </w:p>
    <w:p w14:paraId="7316EB00"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“En la rehabilitación de edificios se tendrá en consideración las directrices recogidas en la Directiva (UE) 2018/844 relativa a la eficacia energética de los edificios de cara a que sean edificios de consumo de energía casi nulo, permitiendo reducir de forma significativa el consumo de energía primaria no renovable.”</w:t>
      </w:r>
    </w:p>
    <w:p w14:paraId="51425503"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p>
    <w:p w14:paraId="78C43139"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Para adaptación al cambio climático:</w:t>
      </w:r>
    </w:p>
    <w:p w14:paraId="19A14F72"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“Las medidas de rehabilitación permitirán contribuir a la adaptación de los edificios al cambio climático, adoptando las soluciones de adaptación que sean posibles en el marco de las opciones que permita la edificación existente y su protección en caso de que sean edificios protegidos, como la utilización de cubiertas vegetales, toldos, zonas de sombreado…”</w:t>
      </w:r>
    </w:p>
    <w:p w14:paraId="5C718614"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p>
    <w:p w14:paraId="0A3199EA"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w:t>
      </w:r>
      <w:r w:rsidRPr="003E2905">
        <w:rPr>
          <w:rFonts w:ascii="Arial" w:eastAsiaTheme="minorHAnsi" w:hAnsi="Arial" w:cs="Arial"/>
          <w:bCs/>
          <w:sz w:val="22"/>
          <w:szCs w:val="22"/>
          <w:lang w:val="es-ES" w:eastAsia="en-US"/>
        </w:rPr>
        <w:tab/>
        <w:t>Para transición a una economía circular</w:t>
      </w:r>
    </w:p>
    <w:p w14:paraId="2BEA6805"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“(I)Al menos el 70% (en peso) de los residuos de construcción y demolición no peligrosos (excluido el material natural mencionado en la categoría 17 05 04 en la Lista europea de residuos establecida por la Decisión 2000/532 / EC) generados, en las actuaciones previstas en esta inversión, será preparado para su reutilización, reciclaje y recuperación de otros materiales, incluidas las operaciones de relleno utilizando residuos para sustituir otros materiales, de acuerdo con la jerarquía de residuos y el Protocolo de gestión de residuos de construcción y demolición de la UE.</w:t>
      </w:r>
    </w:p>
    <w:p w14:paraId="5AA562A1"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(II) Los operadores limitarán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w:t>
      </w:r>
    </w:p>
    <w:p w14:paraId="15C59A06"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(III) Los diseños de los edificios y las técnicas de construcción apoyarán la circularidad en lo referido a la norma ISO 20887 para evaluar la capacidad de desmontaje o adaptabilidad de los edificios, cómo estos están diseñados para ser más eficientes en el uso de los recursos, adaptables, flexibles y desmontables para permitir la reutilización y el reciclaje.</w:t>
      </w:r>
    </w:p>
    <w:p w14:paraId="58B2A25C"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(IV) Cuando se instalen aparatos de agua, estos tendrán una etiqueta de producto existente en la Unión. Para evitar el impacto de la obra, se identificarán y abordarán los riesgos de degradación ambiental relacionados con la preservación de la calidad del agua y la prevención del estrés hídrico, de acuerdo con un plan de gestión de uso y protección del agua”</w:t>
      </w:r>
    </w:p>
    <w:p w14:paraId="2B2C1B78" w14:textId="77777777" w:rsidR="003E2905" w:rsidRDefault="003E2905" w:rsidP="003E2905">
      <w:pPr>
        <w:tabs>
          <w:tab w:val="left" w:pos="426"/>
        </w:tabs>
        <w:spacing w:line="276" w:lineRule="auto"/>
        <w:jc w:val="both"/>
        <w:rPr>
          <w:rFonts w:ascii="Arial" w:eastAsiaTheme="minorHAnsi" w:hAnsi="Arial" w:cs="Arial"/>
          <w:bCs/>
          <w:sz w:val="22"/>
          <w:szCs w:val="22"/>
          <w:lang w:val="es-ES" w:eastAsia="en-US"/>
        </w:rPr>
      </w:pPr>
    </w:p>
    <w:p w14:paraId="1EB80126" w14:textId="7696A270" w:rsidR="00536D3C" w:rsidRDefault="003E2905" w:rsidP="004D451B">
      <w:pPr>
        <w:pStyle w:val="Default"/>
        <w:spacing w:line="276" w:lineRule="auto"/>
        <w:jc w:val="both"/>
        <w:rPr>
          <w:bCs/>
          <w:sz w:val="22"/>
          <w:szCs w:val="22"/>
        </w:rPr>
      </w:pPr>
      <w:r w:rsidRPr="003E2905">
        <w:rPr>
          <w:bCs/>
          <w:sz w:val="22"/>
          <w:szCs w:val="22"/>
        </w:rPr>
        <w:t xml:space="preserve">Los condicionantes de cumplimiento del principio DNSH y el etiquetado deben incluirse en todos los instrumentos jurídicos a través de los cuales se formalizarán los compromisos financieros resultantes del Acuerdo, en la medida en que sean de aplicación a los gastos financiables en cada instrumento, de forma que se asegure el cumplimiento de las instrucciones recogidas en la Componente del Plan. </w:t>
      </w:r>
    </w:p>
    <w:p w14:paraId="0BE2922F" w14:textId="77777777" w:rsidR="00E20EE9" w:rsidRDefault="00E20EE9" w:rsidP="004D451B">
      <w:pPr>
        <w:pStyle w:val="Default"/>
        <w:spacing w:line="276" w:lineRule="auto"/>
        <w:jc w:val="both"/>
      </w:pPr>
    </w:p>
    <w:p w14:paraId="637F1E3D" w14:textId="77777777" w:rsidR="00536D3C" w:rsidRPr="004D451B" w:rsidRDefault="00536D3C" w:rsidP="004D451B">
      <w:pPr>
        <w:pStyle w:val="Default"/>
        <w:spacing w:line="276" w:lineRule="auto"/>
        <w:jc w:val="both"/>
        <w:rPr>
          <w:sz w:val="22"/>
          <w:szCs w:val="22"/>
        </w:rPr>
      </w:pPr>
      <w:r w:rsidRPr="004D451B">
        <w:rPr>
          <w:sz w:val="22"/>
          <w:szCs w:val="22"/>
        </w:rPr>
        <w:t>Solo pueden recibir apoyo las actividades que cumplan  el acervo comunitario y nacional en materia medioambiental, según el principio de la Guía Técnica (2021/C58/01) de “No daño significativo” al medioambiente, estableciendo un listado de actividades y activos excluidos de la financiación.</w:t>
      </w:r>
    </w:p>
    <w:p w14:paraId="18D23218" w14:textId="2B76393B" w:rsidR="00A349A2" w:rsidRPr="00E20EE9" w:rsidRDefault="00A349A2" w:rsidP="00E20EE9">
      <w:pPr>
        <w:tabs>
          <w:tab w:val="left" w:pos="426"/>
        </w:tabs>
        <w:spacing w:line="276" w:lineRule="auto"/>
        <w:jc w:val="both"/>
        <w:rPr>
          <w:rFonts w:ascii="Arial" w:eastAsiaTheme="minorHAnsi" w:hAnsi="Arial" w:cs="Arial"/>
          <w:b/>
          <w:bCs/>
          <w:sz w:val="22"/>
          <w:szCs w:val="22"/>
          <w:lang w:val="es-ES" w:eastAsia="en-US"/>
        </w:rPr>
      </w:pPr>
    </w:p>
    <w:p w14:paraId="717E5184" w14:textId="77777777" w:rsidR="001709FB" w:rsidRPr="00B30385" w:rsidRDefault="001709FB" w:rsidP="00D43F5D">
      <w:pPr>
        <w:autoSpaceDE w:val="0"/>
        <w:autoSpaceDN w:val="0"/>
        <w:adjustRightInd w:val="0"/>
        <w:spacing w:line="276" w:lineRule="auto"/>
        <w:jc w:val="both"/>
        <w:rPr>
          <w:rFonts w:ascii="Arial" w:eastAsiaTheme="minorHAnsi" w:hAnsi="Arial" w:cs="Arial"/>
          <w:b/>
          <w:bCs/>
          <w:sz w:val="22"/>
          <w:szCs w:val="22"/>
          <w:lang w:val="es-ES" w:eastAsia="en-US"/>
        </w:rPr>
      </w:pPr>
    </w:p>
    <w:p w14:paraId="61005DF5" w14:textId="2188D14D" w:rsidR="00A349A2" w:rsidRPr="00B30385" w:rsidRDefault="00A349A2" w:rsidP="00B30385">
      <w:pPr>
        <w:autoSpaceDE w:val="0"/>
        <w:autoSpaceDN w:val="0"/>
        <w:adjustRightInd w:val="0"/>
        <w:jc w:val="both"/>
        <w:rPr>
          <w:rFonts w:ascii="Arial" w:eastAsiaTheme="minorHAnsi" w:hAnsi="Arial" w:cs="Arial"/>
          <w:b/>
          <w:bCs/>
          <w:sz w:val="22"/>
          <w:szCs w:val="22"/>
          <w:lang w:val="es-ES" w:eastAsia="en-US"/>
        </w:rPr>
      </w:pPr>
      <w:r w:rsidRPr="00B30385">
        <w:rPr>
          <w:rFonts w:ascii="Arial" w:eastAsiaTheme="minorHAnsi" w:hAnsi="Arial" w:cs="Arial"/>
          <w:b/>
          <w:bCs/>
          <w:sz w:val="22"/>
          <w:szCs w:val="22"/>
          <w:lang w:val="es-ES" w:eastAsia="en-US"/>
        </w:rPr>
        <w:t>Costes objeto de financiación</w:t>
      </w:r>
    </w:p>
    <w:p w14:paraId="4517E04E" w14:textId="77777777" w:rsidR="00A349A2" w:rsidRPr="003E2905" w:rsidRDefault="00A349A2" w:rsidP="00B30385">
      <w:pPr>
        <w:autoSpaceDE w:val="0"/>
        <w:autoSpaceDN w:val="0"/>
        <w:adjustRightInd w:val="0"/>
        <w:jc w:val="both"/>
        <w:rPr>
          <w:rFonts w:ascii="Arial" w:eastAsiaTheme="minorHAnsi" w:hAnsi="Arial" w:cs="Arial"/>
          <w:sz w:val="22"/>
          <w:szCs w:val="22"/>
          <w:lang w:val="es-ES" w:eastAsia="en-US"/>
        </w:rPr>
      </w:pPr>
    </w:p>
    <w:p w14:paraId="4E1AF225"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1. Las inversiones correspondientes a los tipos de actuaciones incluidos en el apartado 8 del presente anexo podrán por ser financiables hasta el 100% de los costes subvencionables, considerando como tales los siguientes:</w:t>
      </w:r>
    </w:p>
    <w:p w14:paraId="7AC85472"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a)</w:t>
      </w:r>
      <w:r w:rsidRPr="003E2905">
        <w:rPr>
          <w:rFonts w:ascii="Arial" w:eastAsiaTheme="minorHAnsi" w:hAnsi="Arial" w:cs="Arial"/>
          <w:bCs/>
          <w:sz w:val="22"/>
          <w:szCs w:val="22"/>
          <w:lang w:val="es-ES" w:eastAsia="en-US"/>
        </w:rPr>
        <w:tab/>
        <w:t>Las contrataciones externas de ingeniería, seguimiento y obra civil.</w:t>
      </w:r>
    </w:p>
    <w:p w14:paraId="725CA5E7"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b)</w:t>
      </w:r>
      <w:r w:rsidRPr="003E2905">
        <w:rPr>
          <w:rFonts w:ascii="Arial" w:eastAsiaTheme="minorHAnsi" w:hAnsi="Arial" w:cs="Arial"/>
          <w:bCs/>
          <w:sz w:val="22"/>
          <w:szCs w:val="22"/>
          <w:lang w:val="es-ES" w:eastAsia="en-US"/>
        </w:rPr>
        <w:tab/>
        <w:t>Los contratos de compra de equipos, incluyendo equipamiento tecnológico y equipos informáticos, relacionados con las actuaciones financiables</w:t>
      </w:r>
    </w:p>
    <w:p w14:paraId="67557EEF"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c)</w:t>
      </w:r>
      <w:r w:rsidRPr="003E2905">
        <w:rPr>
          <w:rFonts w:ascii="Arial" w:eastAsiaTheme="minorHAnsi" w:hAnsi="Arial" w:cs="Arial"/>
          <w:bCs/>
          <w:sz w:val="22"/>
          <w:szCs w:val="22"/>
          <w:lang w:val="es-ES" w:eastAsia="en-US"/>
        </w:rPr>
        <w:tab/>
        <w:t>La adquisición de licencias de software de carácter especializado y destinado exclusivamente a la actuación y que posibilite la utilización adecuada del equipamiento adquirido</w:t>
      </w:r>
    </w:p>
    <w:p w14:paraId="55F385F1"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d)</w:t>
      </w:r>
      <w:r w:rsidRPr="003E2905">
        <w:rPr>
          <w:rFonts w:ascii="Arial" w:eastAsiaTheme="minorHAnsi" w:hAnsi="Arial" w:cs="Arial"/>
          <w:bCs/>
          <w:sz w:val="22"/>
          <w:szCs w:val="22"/>
          <w:lang w:val="es-ES" w:eastAsia="en-US"/>
        </w:rPr>
        <w:tab/>
        <w:t>Las contrataciones externas de consultoría, que se lleven a cabo dentro de la actuación objeto de la subvención como parte de la misma. Los estudios de viabilidad y de ingeniería de detalle serán subvencionables siempre que sean necesarios para la realización de la actuación. Podrán haberse realizado con anterioridad a la fecha de elegibilidad, pero en ese caso, su coste no sería elegible.</w:t>
      </w:r>
    </w:p>
    <w:p w14:paraId="7A6656B3" w14:textId="4D7F029A" w:rsid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e)</w:t>
      </w:r>
      <w:r w:rsidRPr="003E2905">
        <w:rPr>
          <w:rFonts w:ascii="Arial" w:eastAsiaTheme="minorHAnsi" w:hAnsi="Arial" w:cs="Arial"/>
          <w:bCs/>
          <w:sz w:val="22"/>
          <w:szCs w:val="22"/>
          <w:lang w:val="es-ES" w:eastAsia="en-US"/>
        </w:rPr>
        <w:tab/>
        <w:t>Las contrataciones externas para trabajos de asesoramiento legal, notaría, asesoramiento técnico o financiero contabilidad o auditoría, si están directamente ligados al proyecto y son necesarios para su preparación o desarrollo, siempre y cuando hubieran sido contemplados en el presupuesto.</w:t>
      </w:r>
    </w:p>
    <w:p w14:paraId="1C93BE1E" w14:textId="77777777" w:rsidR="003E2905" w:rsidRPr="003E2905" w:rsidRDefault="003E2905" w:rsidP="003E2905">
      <w:pPr>
        <w:tabs>
          <w:tab w:val="left" w:pos="426"/>
        </w:tabs>
        <w:spacing w:line="276" w:lineRule="auto"/>
        <w:ind w:left="426"/>
        <w:jc w:val="both"/>
        <w:rPr>
          <w:rFonts w:ascii="Arial" w:eastAsiaTheme="minorHAnsi" w:hAnsi="Arial" w:cs="Arial"/>
          <w:bCs/>
          <w:sz w:val="22"/>
          <w:szCs w:val="22"/>
          <w:lang w:val="es-ES" w:eastAsia="en-US"/>
        </w:rPr>
      </w:pPr>
    </w:p>
    <w:p w14:paraId="4318FD4D" w14:textId="77777777" w:rsidR="003E2905" w:rsidRPr="003E2905" w:rsidRDefault="003E2905" w:rsidP="003E2905">
      <w:pPr>
        <w:tabs>
          <w:tab w:val="left" w:pos="426"/>
        </w:tabs>
        <w:spacing w:line="276" w:lineRule="auto"/>
        <w:jc w:val="both"/>
        <w:rPr>
          <w:rFonts w:ascii="Arial" w:eastAsiaTheme="minorHAnsi" w:hAnsi="Arial" w:cs="Arial"/>
          <w:bCs/>
          <w:sz w:val="22"/>
          <w:szCs w:val="22"/>
          <w:lang w:val="es-ES" w:eastAsia="en-US"/>
        </w:rPr>
      </w:pPr>
      <w:r w:rsidRPr="003E2905">
        <w:rPr>
          <w:rFonts w:ascii="Arial" w:eastAsiaTheme="minorHAnsi" w:hAnsi="Arial" w:cs="Arial"/>
          <w:bCs/>
          <w:sz w:val="22"/>
          <w:szCs w:val="22"/>
          <w:lang w:val="es-ES" w:eastAsia="en-US"/>
        </w:rPr>
        <w:t>2. Asimismo, no se considerarán costes financiables, los englobados en los siguientes conceptos:</w:t>
      </w:r>
    </w:p>
    <w:p w14:paraId="618EF09F" w14:textId="77777777" w:rsidR="001709FB" w:rsidRPr="001709FB" w:rsidRDefault="001709FB" w:rsidP="001709FB">
      <w:pPr>
        <w:pStyle w:val="Prrafodelista"/>
        <w:numPr>
          <w:ilvl w:val="0"/>
          <w:numId w:val="28"/>
        </w:numPr>
        <w:autoSpaceDE w:val="0"/>
        <w:autoSpaceDN w:val="0"/>
        <w:adjustRightInd w:val="0"/>
        <w:spacing w:after="0" w:line="276" w:lineRule="auto"/>
        <w:jc w:val="both"/>
        <w:rPr>
          <w:rFonts w:ascii="Arial" w:hAnsi="Arial" w:cs="Arial"/>
          <w:color w:val="000000"/>
        </w:rPr>
      </w:pPr>
      <w:r w:rsidRPr="001709FB">
        <w:rPr>
          <w:rFonts w:ascii="Arial" w:hAnsi="Arial" w:cs="Arial"/>
          <w:color w:val="000000"/>
        </w:rPr>
        <w:t>Autorizaciones administrativas, licencias, permisos, coste de avales y/o fianzas, multas, tasas.</w:t>
      </w:r>
    </w:p>
    <w:p w14:paraId="43B1F73A" w14:textId="77777777" w:rsidR="001709FB" w:rsidRPr="001709FB" w:rsidRDefault="001709FB" w:rsidP="001709FB">
      <w:pPr>
        <w:pStyle w:val="Default"/>
        <w:numPr>
          <w:ilvl w:val="0"/>
          <w:numId w:val="28"/>
        </w:numPr>
        <w:spacing w:before="120" w:after="120"/>
        <w:jc w:val="both"/>
        <w:rPr>
          <w:sz w:val="22"/>
          <w:szCs w:val="22"/>
        </w:rPr>
      </w:pPr>
      <w:r w:rsidRPr="001709FB">
        <w:rPr>
          <w:sz w:val="22"/>
          <w:szCs w:val="22"/>
        </w:rPr>
        <w:t>Cualesquiera gastos asociados a gestiones, contrataciones, consultas o trámites administrativos, aun siendo necesarios para la obtención de permisos o licencias.</w:t>
      </w:r>
    </w:p>
    <w:p w14:paraId="1D664264" w14:textId="77777777" w:rsidR="001709FB" w:rsidRPr="001709FB" w:rsidRDefault="001709FB" w:rsidP="001709FB">
      <w:pPr>
        <w:pStyle w:val="Default"/>
        <w:numPr>
          <w:ilvl w:val="0"/>
          <w:numId w:val="28"/>
        </w:numPr>
        <w:spacing w:before="120" w:after="120"/>
        <w:jc w:val="both"/>
        <w:rPr>
          <w:sz w:val="22"/>
          <w:szCs w:val="22"/>
        </w:rPr>
      </w:pPr>
      <w:r w:rsidRPr="001709FB">
        <w:rPr>
          <w:sz w:val="22"/>
          <w:szCs w:val="22"/>
        </w:rPr>
        <w:t>Los gastos recurrentes o estructurales, y en particular los gastos de personal de las Administraciones Públicas, toda vez que el artículo 5 del Reglamento del MRR dispone que «la ayuda del Mecanismo no sustituirá, excepto en casos debidamente justificados, a los gastos presupuestarios nacionales ordinarios.</w:t>
      </w:r>
    </w:p>
    <w:p w14:paraId="770DB364" w14:textId="77777777" w:rsidR="001709FB" w:rsidRPr="001709FB" w:rsidRDefault="001709FB" w:rsidP="001709FB">
      <w:pPr>
        <w:pStyle w:val="Default"/>
        <w:numPr>
          <w:ilvl w:val="0"/>
          <w:numId w:val="28"/>
        </w:numPr>
        <w:spacing w:before="120" w:after="120"/>
        <w:jc w:val="both"/>
        <w:rPr>
          <w:sz w:val="22"/>
          <w:szCs w:val="22"/>
        </w:rPr>
      </w:pPr>
      <w:r w:rsidRPr="001709FB">
        <w:rPr>
          <w:sz w:val="22"/>
          <w:szCs w:val="22"/>
        </w:rPr>
        <w:t>Seguros suscritos por el solicitante.</w:t>
      </w:r>
    </w:p>
    <w:p w14:paraId="63A804F4" w14:textId="77777777" w:rsidR="001709FB" w:rsidRPr="001709FB" w:rsidRDefault="001709FB" w:rsidP="001709FB">
      <w:pPr>
        <w:pStyle w:val="Default"/>
        <w:numPr>
          <w:ilvl w:val="0"/>
          <w:numId w:val="28"/>
        </w:numPr>
        <w:spacing w:before="120" w:after="120"/>
        <w:jc w:val="both"/>
        <w:rPr>
          <w:sz w:val="22"/>
          <w:szCs w:val="22"/>
        </w:rPr>
      </w:pPr>
      <w:r w:rsidRPr="001709FB">
        <w:rPr>
          <w:sz w:val="22"/>
          <w:szCs w:val="22"/>
        </w:rPr>
        <w:t>La vigilancia y seguridad durante la ejecución de la obra hasta la fecha de puesta en marcha.</w:t>
      </w:r>
    </w:p>
    <w:p w14:paraId="3FD2E7C5" w14:textId="77777777" w:rsidR="001709FB" w:rsidRPr="001709FB" w:rsidRDefault="001709FB" w:rsidP="001709FB">
      <w:pPr>
        <w:pStyle w:val="Default"/>
        <w:numPr>
          <w:ilvl w:val="0"/>
          <w:numId w:val="28"/>
        </w:numPr>
        <w:spacing w:before="120" w:after="120"/>
        <w:jc w:val="both"/>
        <w:rPr>
          <w:sz w:val="22"/>
          <w:szCs w:val="22"/>
        </w:rPr>
      </w:pPr>
      <w:r w:rsidRPr="001709FB">
        <w:rPr>
          <w:sz w:val="22"/>
          <w:szCs w:val="22"/>
        </w:rPr>
        <w:t>Cualesquiera costes financieros.</w:t>
      </w:r>
    </w:p>
    <w:p w14:paraId="19125652" w14:textId="77777777" w:rsidR="001709FB" w:rsidRPr="001709FB" w:rsidRDefault="001709FB" w:rsidP="001709FB">
      <w:pPr>
        <w:pStyle w:val="Default"/>
        <w:numPr>
          <w:ilvl w:val="0"/>
          <w:numId w:val="28"/>
        </w:numPr>
        <w:spacing w:before="120" w:after="120"/>
        <w:jc w:val="both"/>
        <w:rPr>
          <w:sz w:val="22"/>
          <w:szCs w:val="22"/>
        </w:rPr>
      </w:pPr>
      <w:r w:rsidRPr="001709FB">
        <w:rPr>
          <w:sz w:val="22"/>
          <w:szCs w:val="22"/>
        </w:rPr>
        <w:t>Costes asociados a sanciones penales, así como gastos de procedimientos judiciales.</w:t>
      </w:r>
    </w:p>
    <w:p w14:paraId="6F8654E3" w14:textId="77777777" w:rsidR="001709FB" w:rsidRPr="001709FB" w:rsidRDefault="001709FB" w:rsidP="001709FB">
      <w:pPr>
        <w:pStyle w:val="Default"/>
        <w:numPr>
          <w:ilvl w:val="0"/>
          <w:numId w:val="28"/>
        </w:numPr>
        <w:spacing w:before="120" w:after="120"/>
        <w:jc w:val="both"/>
        <w:rPr>
          <w:sz w:val="22"/>
          <w:szCs w:val="22"/>
        </w:rPr>
      </w:pPr>
      <w:r w:rsidRPr="001709FB">
        <w:rPr>
          <w:sz w:val="22"/>
          <w:szCs w:val="22"/>
        </w:rPr>
        <w:t>Licencias destinadas a sistemas operativos y aplicaciones ofimáticas</w:t>
      </w:r>
    </w:p>
    <w:p w14:paraId="0F738526" w14:textId="77777777" w:rsidR="001709FB" w:rsidRPr="001709FB" w:rsidRDefault="001709FB" w:rsidP="001709FB">
      <w:pPr>
        <w:pStyle w:val="Default"/>
        <w:numPr>
          <w:ilvl w:val="0"/>
          <w:numId w:val="28"/>
        </w:numPr>
        <w:spacing w:before="120" w:after="120"/>
        <w:jc w:val="both"/>
        <w:rPr>
          <w:sz w:val="22"/>
          <w:szCs w:val="22"/>
        </w:rPr>
      </w:pPr>
      <w:r w:rsidRPr="001709FB">
        <w:rPr>
          <w:sz w:val="22"/>
          <w:szCs w:val="22"/>
        </w:rPr>
        <w:t>Cualquier gasto de operación y mantenimiento de las actuaciones o gastos propios de la administración.</w:t>
      </w:r>
    </w:p>
    <w:p w14:paraId="565C5EB6" w14:textId="77777777" w:rsidR="003E2905" w:rsidRPr="00B30385" w:rsidRDefault="003E2905" w:rsidP="003E2905">
      <w:pPr>
        <w:tabs>
          <w:tab w:val="left" w:pos="426"/>
        </w:tabs>
        <w:spacing w:line="276" w:lineRule="auto"/>
        <w:jc w:val="both"/>
        <w:rPr>
          <w:rFonts w:ascii="Arial" w:eastAsiaTheme="minorHAnsi" w:hAnsi="Arial" w:cs="Arial"/>
          <w:b/>
          <w:bCs/>
          <w:sz w:val="22"/>
          <w:szCs w:val="22"/>
          <w:lang w:val="es-ES" w:eastAsia="en-US"/>
        </w:rPr>
      </w:pPr>
    </w:p>
    <w:p w14:paraId="7C055122" w14:textId="77777777" w:rsidR="001709FB" w:rsidRPr="001709FB" w:rsidRDefault="00026962" w:rsidP="001709FB">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
          <w:bCs/>
          <w:sz w:val="22"/>
          <w:szCs w:val="22"/>
          <w:lang w:val="es-ES" w:eastAsia="en-US"/>
        </w:rPr>
        <w:t xml:space="preserve">Plazo de ejecución: </w:t>
      </w:r>
      <w:r w:rsidR="001709FB" w:rsidRPr="001709FB">
        <w:rPr>
          <w:rFonts w:ascii="Arial" w:eastAsiaTheme="minorHAnsi" w:hAnsi="Arial" w:cs="Arial"/>
          <w:bCs/>
          <w:sz w:val="22"/>
          <w:szCs w:val="22"/>
          <w:lang w:val="es-ES" w:eastAsia="en-US"/>
        </w:rPr>
        <w:t>Los plazos de ejecución de este programa de ayudas son compatibles con los hitos y objetivos recogidos en el Plan de recuperación, transformación y resiliencia.</w:t>
      </w:r>
    </w:p>
    <w:p w14:paraId="27F8699F" w14:textId="77777777" w:rsidR="001709FB" w:rsidRDefault="001709FB" w:rsidP="001709FB">
      <w:pPr>
        <w:tabs>
          <w:tab w:val="left" w:pos="426"/>
        </w:tabs>
        <w:spacing w:line="276" w:lineRule="auto"/>
        <w:jc w:val="both"/>
        <w:rPr>
          <w:rFonts w:ascii="Arial" w:eastAsiaTheme="minorHAnsi" w:hAnsi="Arial" w:cs="Arial"/>
          <w:bCs/>
          <w:sz w:val="22"/>
          <w:szCs w:val="22"/>
          <w:lang w:val="es-ES" w:eastAsia="en-US"/>
        </w:rPr>
      </w:pPr>
    </w:p>
    <w:p w14:paraId="73069210" w14:textId="3B6D15E7" w:rsidR="001709FB" w:rsidRPr="001709FB" w:rsidRDefault="001709FB" w:rsidP="001709FB">
      <w:pPr>
        <w:tabs>
          <w:tab w:val="left" w:pos="426"/>
        </w:tabs>
        <w:spacing w:line="276" w:lineRule="auto"/>
        <w:jc w:val="both"/>
        <w:rPr>
          <w:rFonts w:ascii="Arial" w:eastAsiaTheme="minorHAnsi" w:hAnsi="Arial" w:cs="Arial"/>
          <w:bCs/>
          <w:sz w:val="22"/>
          <w:szCs w:val="22"/>
          <w:lang w:val="es-ES" w:eastAsia="en-US"/>
        </w:rPr>
      </w:pPr>
      <w:r w:rsidRPr="001709FB">
        <w:rPr>
          <w:rFonts w:ascii="Arial" w:eastAsiaTheme="minorHAnsi" w:hAnsi="Arial" w:cs="Arial"/>
          <w:bCs/>
          <w:sz w:val="22"/>
          <w:szCs w:val="22"/>
          <w:lang w:val="es-ES" w:eastAsia="en-US"/>
        </w:rPr>
        <w:t xml:space="preserve">Para el 31 de diciembre de 2024 deberá haberse alcanzado un porcentaje de ejecución del </w:t>
      </w:r>
      <w:r w:rsidR="00E20EE9">
        <w:rPr>
          <w:rFonts w:ascii="Arial" w:eastAsiaTheme="minorHAnsi" w:hAnsi="Arial" w:cs="Arial"/>
          <w:bCs/>
          <w:sz w:val="22"/>
          <w:szCs w:val="22"/>
          <w:lang w:val="es-ES" w:eastAsia="en-US"/>
        </w:rPr>
        <w:t>25</w:t>
      </w:r>
      <w:r w:rsidR="00E20EE9" w:rsidRPr="001709FB">
        <w:rPr>
          <w:rFonts w:ascii="Arial" w:eastAsiaTheme="minorHAnsi" w:hAnsi="Arial" w:cs="Arial"/>
          <w:bCs/>
          <w:sz w:val="22"/>
          <w:szCs w:val="22"/>
          <w:lang w:val="es-ES" w:eastAsia="en-US"/>
        </w:rPr>
        <w:t xml:space="preserve"> </w:t>
      </w:r>
      <w:r w:rsidRPr="001709FB">
        <w:rPr>
          <w:rFonts w:ascii="Arial" w:eastAsiaTheme="minorHAnsi" w:hAnsi="Arial" w:cs="Arial"/>
          <w:bCs/>
          <w:sz w:val="22"/>
          <w:szCs w:val="22"/>
          <w:lang w:val="es-ES" w:eastAsia="en-US"/>
        </w:rPr>
        <w:t>% en el caso de los destinos adjudicados en este Acuerdo (hito CID 220).</w:t>
      </w:r>
    </w:p>
    <w:p w14:paraId="01EB8D14" w14:textId="77777777" w:rsidR="001709FB" w:rsidRDefault="001709FB" w:rsidP="001709FB">
      <w:pPr>
        <w:tabs>
          <w:tab w:val="left" w:pos="426"/>
        </w:tabs>
        <w:spacing w:line="276" w:lineRule="auto"/>
        <w:jc w:val="both"/>
        <w:rPr>
          <w:rFonts w:ascii="Arial" w:eastAsiaTheme="minorHAnsi" w:hAnsi="Arial" w:cs="Arial"/>
          <w:bCs/>
          <w:sz w:val="22"/>
          <w:szCs w:val="22"/>
          <w:lang w:val="es-ES" w:eastAsia="en-US"/>
        </w:rPr>
      </w:pPr>
    </w:p>
    <w:p w14:paraId="4E46CF5E" w14:textId="5E788F29" w:rsidR="004B7B6B" w:rsidRPr="001709FB" w:rsidRDefault="001709FB" w:rsidP="001709FB">
      <w:pPr>
        <w:tabs>
          <w:tab w:val="left" w:pos="426"/>
        </w:tabs>
        <w:spacing w:line="276" w:lineRule="auto"/>
        <w:jc w:val="both"/>
        <w:rPr>
          <w:rFonts w:ascii="Arial" w:eastAsiaTheme="minorHAnsi" w:hAnsi="Arial" w:cs="Arial"/>
          <w:bCs/>
          <w:sz w:val="22"/>
          <w:szCs w:val="22"/>
          <w:lang w:val="es-ES" w:eastAsia="en-US"/>
        </w:rPr>
      </w:pPr>
      <w:r w:rsidRPr="001709FB">
        <w:rPr>
          <w:rFonts w:ascii="Arial" w:eastAsiaTheme="minorHAnsi" w:hAnsi="Arial" w:cs="Arial"/>
          <w:bCs/>
          <w:sz w:val="22"/>
          <w:szCs w:val="22"/>
          <w:lang w:val="es-ES" w:eastAsia="en-US"/>
        </w:rPr>
        <w:t xml:space="preserve">El programa de ayudas estará vigente desde el día siguiente de la publicación del Acuerdo de </w:t>
      </w:r>
      <w:r w:rsidR="00E20EE9">
        <w:rPr>
          <w:rFonts w:ascii="Arial" w:eastAsiaTheme="minorHAnsi" w:hAnsi="Arial" w:cs="Arial"/>
          <w:bCs/>
          <w:sz w:val="22"/>
          <w:szCs w:val="22"/>
          <w:lang w:val="es-ES" w:eastAsia="en-US"/>
        </w:rPr>
        <w:t>Conferencia Sectorial</w:t>
      </w:r>
      <w:r w:rsidRPr="001709FB">
        <w:rPr>
          <w:rFonts w:ascii="Arial" w:eastAsiaTheme="minorHAnsi" w:hAnsi="Arial" w:cs="Arial"/>
          <w:bCs/>
          <w:sz w:val="22"/>
          <w:szCs w:val="22"/>
          <w:lang w:val="es-ES" w:eastAsia="en-US"/>
        </w:rPr>
        <w:t xml:space="preserve"> y hasta el 31 de marzo de 2026.</w:t>
      </w:r>
    </w:p>
    <w:p w14:paraId="24D5BCB3" w14:textId="6EEC0A07" w:rsidR="00B312F3" w:rsidRPr="00B30385" w:rsidRDefault="00B312F3" w:rsidP="003400EA">
      <w:pPr>
        <w:tabs>
          <w:tab w:val="left" w:pos="426"/>
        </w:tabs>
        <w:spacing w:line="276" w:lineRule="auto"/>
        <w:jc w:val="both"/>
        <w:rPr>
          <w:rFonts w:ascii="Arial" w:eastAsiaTheme="minorHAnsi" w:hAnsi="Arial" w:cs="Arial"/>
          <w:bCs/>
          <w:sz w:val="22"/>
          <w:szCs w:val="22"/>
          <w:lang w:val="es-ES" w:eastAsia="en-US"/>
        </w:rPr>
      </w:pPr>
    </w:p>
    <w:p w14:paraId="233A9CC6" w14:textId="5D499458" w:rsidR="005D4587" w:rsidRPr="00B30385" w:rsidRDefault="00026962" w:rsidP="005D4587">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
          <w:bCs/>
          <w:sz w:val="22"/>
          <w:szCs w:val="22"/>
          <w:lang w:val="es-ES" w:eastAsia="en-US"/>
        </w:rPr>
        <w:t xml:space="preserve">Seguimiento: </w:t>
      </w:r>
      <w:r w:rsidR="005D4587" w:rsidRPr="00B30385">
        <w:rPr>
          <w:rFonts w:ascii="Arial" w:eastAsiaTheme="minorHAnsi" w:hAnsi="Arial" w:cs="Arial"/>
          <w:bCs/>
          <w:sz w:val="22"/>
          <w:szCs w:val="22"/>
          <w:lang w:val="es-ES" w:eastAsia="en-US"/>
        </w:rPr>
        <w:t>las actuaciones estarán sometidas asimismo al seguimiento y control que se establezca para el PRTR, así como las obligaciones específicas relativas a la información y publicidad, control, verificación, seguimiento y demás obligaciones impuestas por la normativa interna y de la Unión Europea que se establezcan para el Mecanismo de Recuperación y Resiliencia de la UE y cuya aplicación será de obligado cumplimiento.</w:t>
      </w:r>
    </w:p>
    <w:p w14:paraId="6ACCDF7D" w14:textId="77777777" w:rsidR="005D4587" w:rsidRPr="00B30385" w:rsidRDefault="005D4587" w:rsidP="005D4587">
      <w:pPr>
        <w:tabs>
          <w:tab w:val="left" w:pos="426"/>
        </w:tabs>
        <w:spacing w:line="276" w:lineRule="auto"/>
        <w:jc w:val="both"/>
        <w:rPr>
          <w:rFonts w:ascii="Arial" w:eastAsiaTheme="minorHAnsi" w:hAnsi="Arial" w:cs="Arial"/>
          <w:b/>
          <w:bCs/>
          <w:sz w:val="22"/>
          <w:szCs w:val="22"/>
          <w:lang w:val="es-ES" w:eastAsia="en-US"/>
        </w:rPr>
      </w:pPr>
    </w:p>
    <w:p w14:paraId="1A9D185F" w14:textId="54EBB4D2" w:rsidR="005D4587" w:rsidRPr="00B30385" w:rsidRDefault="005D4587" w:rsidP="005D4587">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En este sentido, las </w:t>
      </w:r>
      <w:r w:rsidR="001369AF" w:rsidRPr="00B30385">
        <w:rPr>
          <w:rFonts w:ascii="Arial" w:eastAsiaTheme="minorHAnsi" w:hAnsi="Arial" w:cs="Arial"/>
          <w:bCs/>
          <w:sz w:val="22"/>
          <w:szCs w:val="22"/>
          <w:lang w:val="es-ES" w:eastAsia="en-US"/>
        </w:rPr>
        <w:t>comunidades a</w:t>
      </w:r>
      <w:r w:rsidRPr="00B30385">
        <w:rPr>
          <w:rFonts w:ascii="Arial" w:eastAsiaTheme="minorHAnsi" w:hAnsi="Arial" w:cs="Arial"/>
          <w:bCs/>
          <w:sz w:val="22"/>
          <w:szCs w:val="22"/>
          <w:lang w:val="es-ES" w:eastAsia="en-US"/>
        </w:rPr>
        <w:t>utónomas deberán justificar el cumplimiento de la finalidad para la que se concedió la transferencia y la aplicación de los fondos percibidos ante la Secretaría de Estado de Turismo.</w:t>
      </w:r>
      <w:r w:rsidRPr="00B30385" w:rsidDel="005729BD">
        <w:rPr>
          <w:rFonts w:ascii="Arial" w:eastAsiaTheme="minorHAnsi" w:hAnsi="Arial" w:cs="Arial"/>
          <w:bCs/>
          <w:sz w:val="22"/>
          <w:szCs w:val="22"/>
          <w:lang w:val="es-ES" w:eastAsia="en-US"/>
        </w:rPr>
        <w:t xml:space="preserve"> </w:t>
      </w:r>
    </w:p>
    <w:p w14:paraId="2CC22EE3" w14:textId="77777777" w:rsidR="005D4587" w:rsidRPr="00B30385" w:rsidRDefault="005D4587" w:rsidP="005D4587">
      <w:pPr>
        <w:tabs>
          <w:tab w:val="left" w:pos="426"/>
        </w:tabs>
        <w:spacing w:line="276" w:lineRule="auto"/>
        <w:jc w:val="both"/>
        <w:rPr>
          <w:rFonts w:ascii="Arial" w:eastAsiaTheme="minorHAnsi" w:hAnsi="Arial" w:cs="Arial"/>
          <w:bCs/>
          <w:sz w:val="22"/>
          <w:szCs w:val="22"/>
          <w:lang w:val="es-ES" w:eastAsia="en-US"/>
        </w:rPr>
      </w:pPr>
    </w:p>
    <w:p w14:paraId="17BCB015" w14:textId="59717D12" w:rsidR="005D4587" w:rsidRPr="00B30385" w:rsidRDefault="005D4587" w:rsidP="005D4587">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A los efectos de que el </w:t>
      </w:r>
      <w:r w:rsidR="00E0309C" w:rsidRPr="00B30385">
        <w:rPr>
          <w:rFonts w:ascii="Arial" w:eastAsiaTheme="minorHAnsi" w:hAnsi="Arial" w:cs="Arial"/>
          <w:bCs/>
          <w:sz w:val="22"/>
          <w:szCs w:val="22"/>
          <w:lang w:val="es-ES" w:eastAsia="en-US"/>
        </w:rPr>
        <w:t xml:space="preserve">órgano responsable del </w:t>
      </w:r>
      <w:r w:rsidRPr="00B30385">
        <w:rPr>
          <w:rFonts w:ascii="Arial" w:eastAsiaTheme="minorHAnsi" w:hAnsi="Arial" w:cs="Arial"/>
          <w:bCs/>
          <w:sz w:val="22"/>
          <w:szCs w:val="22"/>
          <w:lang w:val="es-ES" w:eastAsia="en-US"/>
        </w:rPr>
        <w:t>Ministerio de Industria, Comercio y Turismo,</w:t>
      </w:r>
      <w:r w:rsidR="00E20EE9">
        <w:rPr>
          <w:rFonts w:ascii="Arial" w:eastAsiaTheme="minorHAnsi" w:hAnsi="Arial" w:cs="Arial"/>
          <w:bCs/>
          <w:sz w:val="22"/>
          <w:szCs w:val="22"/>
          <w:lang w:val="es-ES" w:eastAsia="en-US"/>
        </w:rPr>
        <w:t xml:space="preserve"> </w:t>
      </w:r>
      <w:r w:rsidRPr="00B30385">
        <w:rPr>
          <w:rFonts w:ascii="Arial" w:eastAsiaTheme="minorHAnsi" w:hAnsi="Arial" w:cs="Arial"/>
          <w:bCs/>
          <w:sz w:val="22"/>
          <w:szCs w:val="22"/>
          <w:lang w:val="es-ES" w:eastAsia="en-US"/>
        </w:rPr>
        <w:t xml:space="preserve">pueda certificar o acreditar los gastos de las actuaciones que sean subvencionables en el citado programa ante las autoridades competentes, las </w:t>
      </w:r>
      <w:r w:rsidR="001369AF" w:rsidRPr="00B30385">
        <w:rPr>
          <w:rFonts w:ascii="Arial" w:eastAsiaTheme="minorHAnsi" w:hAnsi="Arial" w:cs="Arial"/>
          <w:bCs/>
          <w:sz w:val="22"/>
          <w:szCs w:val="22"/>
          <w:lang w:val="es-ES" w:eastAsia="en-US"/>
        </w:rPr>
        <w:t>comunidades a</w:t>
      </w:r>
      <w:r w:rsidRPr="00B30385">
        <w:rPr>
          <w:rFonts w:ascii="Arial" w:eastAsiaTheme="minorHAnsi" w:hAnsi="Arial" w:cs="Arial"/>
          <w:bCs/>
          <w:sz w:val="22"/>
          <w:szCs w:val="22"/>
          <w:lang w:val="es-ES" w:eastAsia="en-US"/>
        </w:rPr>
        <w:t>utónomas beneficiarias deberán remitir cuanta información y documentos se les requiera, así como cumplir puntualmente con lo que pudiera disponerse por cualquier norma o reglamentación aplicable</w:t>
      </w:r>
      <w:r w:rsidR="00E0309C" w:rsidRPr="00B30385">
        <w:rPr>
          <w:rFonts w:ascii="Arial" w:eastAsiaTheme="minorHAnsi" w:hAnsi="Arial" w:cs="Arial"/>
          <w:bCs/>
          <w:sz w:val="22"/>
          <w:szCs w:val="22"/>
          <w:lang w:val="es-ES" w:eastAsia="en-US"/>
        </w:rPr>
        <w:t xml:space="preserve"> en los términos establecidos en las Órdenes HFP/1030/2021, de 29 de septiembre, y HFP/1031/2021, de 29 de septiembre</w:t>
      </w:r>
      <w:r w:rsidR="004D451B">
        <w:rPr>
          <w:rFonts w:ascii="Arial" w:eastAsiaTheme="minorHAnsi" w:hAnsi="Arial" w:cs="Arial"/>
          <w:bCs/>
          <w:sz w:val="22"/>
          <w:szCs w:val="22"/>
          <w:lang w:val="es-ES" w:eastAsia="en-US"/>
        </w:rPr>
        <w:t xml:space="preserve">, y la </w:t>
      </w:r>
      <w:r w:rsidR="004D451B" w:rsidRPr="004D451B">
        <w:rPr>
          <w:rFonts w:ascii="Arial" w:eastAsiaTheme="minorHAnsi" w:hAnsi="Arial" w:cs="Arial"/>
          <w:bCs/>
          <w:sz w:val="22"/>
          <w:szCs w:val="22"/>
          <w:lang w:val="es-ES" w:eastAsia="en-US"/>
        </w:rPr>
        <w:t>Orden HFP/55/2023, de 24 de enero.</w:t>
      </w:r>
    </w:p>
    <w:p w14:paraId="317E2D7C" w14:textId="77777777" w:rsidR="005D4587" w:rsidRPr="00B30385" w:rsidRDefault="005D4587" w:rsidP="005D4587">
      <w:pPr>
        <w:tabs>
          <w:tab w:val="left" w:pos="426"/>
        </w:tabs>
        <w:spacing w:line="276" w:lineRule="auto"/>
        <w:jc w:val="both"/>
        <w:rPr>
          <w:rFonts w:ascii="Arial" w:eastAsiaTheme="minorHAnsi" w:hAnsi="Arial" w:cs="Arial"/>
          <w:bCs/>
          <w:sz w:val="22"/>
          <w:szCs w:val="22"/>
          <w:lang w:val="es-ES" w:eastAsia="en-US"/>
        </w:rPr>
      </w:pPr>
    </w:p>
    <w:p w14:paraId="3CBBD89E" w14:textId="3329538E" w:rsidR="005D4587" w:rsidRPr="00B30385" w:rsidRDefault="005D4587" w:rsidP="005D4587">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Asimismo, las </w:t>
      </w:r>
      <w:r w:rsidR="001369AF" w:rsidRPr="00B30385">
        <w:rPr>
          <w:rFonts w:ascii="Arial" w:eastAsiaTheme="minorHAnsi" w:hAnsi="Arial" w:cs="Arial"/>
          <w:bCs/>
          <w:sz w:val="22"/>
          <w:szCs w:val="22"/>
          <w:lang w:val="es-ES" w:eastAsia="en-US"/>
        </w:rPr>
        <w:t>c</w:t>
      </w:r>
      <w:r w:rsidRPr="00B30385">
        <w:rPr>
          <w:rFonts w:ascii="Arial" w:eastAsiaTheme="minorHAnsi" w:hAnsi="Arial" w:cs="Arial"/>
          <w:bCs/>
          <w:sz w:val="22"/>
          <w:szCs w:val="22"/>
          <w:lang w:val="es-ES" w:eastAsia="en-US"/>
        </w:rPr>
        <w:t>omu</w:t>
      </w:r>
      <w:r w:rsidR="001369AF" w:rsidRPr="00B30385">
        <w:rPr>
          <w:rFonts w:ascii="Arial" w:eastAsiaTheme="minorHAnsi" w:hAnsi="Arial" w:cs="Arial"/>
          <w:bCs/>
          <w:sz w:val="22"/>
          <w:szCs w:val="22"/>
          <w:lang w:val="es-ES" w:eastAsia="en-US"/>
        </w:rPr>
        <w:t>nidades a</w:t>
      </w:r>
      <w:r w:rsidRPr="00B30385">
        <w:rPr>
          <w:rFonts w:ascii="Arial" w:eastAsiaTheme="minorHAnsi" w:hAnsi="Arial" w:cs="Arial"/>
          <w:bCs/>
          <w:sz w:val="22"/>
          <w:szCs w:val="22"/>
          <w:lang w:val="es-ES" w:eastAsia="en-US"/>
        </w:rPr>
        <w:t>utónomas</w:t>
      </w:r>
      <w:r w:rsidR="00E0309C" w:rsidRPr="00B30385">
        <w:rPr>
          <w:rFonts w:ascii="Arial" w:eastAsiaTheme="minorHAnsi" w:hAnsi="Arial" w:cs="Arial"/>
          <w:bCs/>
          <w:sz w:val="22"/>
          <w:szCs w:val="22"/>
          <w:lang w:val="es-ES" w:eastAsia="en-US"/>
        </w:rPr>
        <w:t xml:space="preserve">, como entidades ejecutoras de los subproyectos correspondientes, </w:t>
      </w:r>
      <w:r w:rsidRPr="00B30385">
        <w:rPr>
          <w:rFonts w:ascii="Arial" w:eastAsiaTheme="minorHAnsi" w:hAnsi="Arial" w:cs="Arial"/>
          <w:bCs/>
          <w:sz w:val="22"/>
          <w:szCs w:val="22"/>
          <w:lang w:val="es-ES" w:eastAsia="en-US"/>
        </w:rPr>
        <w:t>quedarán comprometidas expresamente, con la aceptación del presupuesto correspondiente, a cumplir las instrucciones que tanto la Secretaría de Estado de Turismo como cualquier órgano o autoridad competente les dirija en aplicación de cualquier normativa, tanto europea como nacional, que pudiera aprobarse para la ejecución o gestión tanto del Mecanismo Europeo de Recuperación como del PRTR.</w:t>
      </w:r>
    </w:p>
    <w:p w14:paraId="5A909F70" w14:textId="77777777" w:rsidR="005D4587" w:rsidRPr="00B30385" w:rsidRDefault="005D4587" w:rsidP="005D4587">
      <w:pPr>
        <w:tabs>
          <w:tab w:val="left" w:pos="426"/>
        </w:tabs>
        <w:spacing w:line="276" w:lineRule="auto"/>
        <w:jc w:val="both"/>
        <w:rPr>
          <w:rFonts w:ascii="Arial" w:eastAsiaTheme="minorHAnsi" w:hAnsi="Arial" w:cs="Arial"/>
          <w:bCs/>
          <w:sz w:val="22"/>
          <w:szCs w:val="22"/>
          <w:lang w:val="es-ES" w:eastAsia="en-US"/>
        </w:rPr>
      </w:pPr>
    </w:p>
    <w:p w14:paraId="0D71E7B7" w14:textId="5DEE6780" w:rsidR="005D4587" w:rsidRPr="00B30385" w:rsidRDefault="005D4587" w:rsidP="005D4587">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Es responsabilidad de cada </w:t>
      </w:r>
      <w:r w:rsidR="001369AF" w:rsidRPr="00B30385">
        <w:rPr>
          <w:rFonts w:ascii="Arial" w:eastAsiaTheme="minorHAnsi" w:hAnsi="Arial" w:cs="Arial"/>
          <w:bCs/>
          <w:sz w:val="22"/>
          <w:szCs w:val="22"/>
          <w:lang w:val="es-ES" w:eastAsia="en-US"/>
        </w:rPr>
        <w:t>c</w:t>
      </w:r>
      <w:r w:rsidRPr="00B30385">
        <w:rPr>
          <w:rFonts w:ascii="Arial" w:eastAsiaTheme="minorHAnsi" w:hAnsi="Arial" w:cs="Arial"/>
          <w:bCs/>
          <w:sz w:val="22"/>
          <w:szCs w:val="22"/>
          <w:lang w:val="es-ES" w:eastAsia="en-US"/>
        </w:rPr>
        <w:t xml:space="preserve">omunidad </w:t>
      </w:r>
      <w:r w:rsidR="001369AF" w:rsidRPr="00B30385">
        <w:rPr>
          <w:rFonts w:ascii="Arial" w:eastAsiaTheme="minorHAnsi" w:hAnsi="Arial" w:cs="Arial"/>
          <w:bCs/>
          <w:sz w:val="22"/>
          <w:szCs w:val="22"/>
          <w:lang w:val="es-ES" w:eastAsia="en-US"/>
        </w:rPr>
        <w:t>a</w:t>
      </w:r>
      <w:r w:rsidRPr="00B30385">
        <w:rPr>
          <w:rFonts w:ascii="Arial" w:eastAsiaTheme="minorHAnsi" w:hAnsi="Arial" w:cs="Arial"/>
          <w:bCs/>
          <w:sz w:val="22"/>
          <w:szCs w:val="22"/>
          <w:lang w:val="es-ES" w:eastAsia="en-US"/>
        </w:rPr>
        <w:t xml:space="preserve">utónoma en relación con la fiabilidad y el seguimiento de </w:t>
      </w:r>
      <w:r w:rsidR="00741516" w:rsidRPr="00B30385">
        <w:rPr>
          <w:rFonts w:ascii="Arial" w:eastAsiaTheme="minorHAnsi" w:hAnsi="Arial" w:cs="Arial"/>
          <w:bCs/>
          <w:sz w:val="22"/>
          <w:szCs w:val="22"/>
          <w:lang w:val="es-ES" w:eastAsia="en-US"/>
        </w:rPr>
        <w:t xml:space="preserve">los </w:t>
      </w:r>
      <w:r w:rsidRPr="00B30385">
        <w:rPr>
          <w:rFonts w:ascii="Arial" w:eastAsiaTheme="minorHAnsi" w:hAnsi="Arial" w:cs="Arial"/>
          <w:bCs/>
          <w:sz w:val="22"/>
          <w:szCs w:val="22"/>
          <w:lang w:val="es-ES" w:eastAsia="en-US"/>
        </w:rPr>
        <w:t xml:space="preserve">indicadores </w:t>
      </w:r>
      <w:r w:rsidR="00741516" w:rsidRPr="00B30385">
        <w:rPr>
          <w:rFonts w:ascii="Arial" w:eastAsiaTheme="minorHAnsi" w:hAnsi="Arial" w:cs="Arial"/>
          <w:bCs/>
          <w:sz w:val="22"/>
          <w:szCs w:val="22"/>
          <w:lang w:val="es-ES" w:eastAsia="en-US"/>
        </w:rPr>
        <w:t xml:space="preserve">de cumplimiento de los hitos y objetivos </w:t>
      </w:r>
      <w:r w:rsidRPr="00B30385">
        <w:rPr>
          <w:rFonts w:ascii="Arial" w:eastAsiaTheme="minorHAnsi" w:hAnsi="Arial" w:cs="Arial"/>
          <w:bCs/>
          <w:sz w:val="22"/>
          <w:szCs w:val="22"/>
          <w:lang w:val="es-ES" w:eastAsia="en-US"/>
        </w:rPr>
        <w:t xml:space="preserve">el permitir conocer en todo momento el nivel de consecución de los hitos y de los objetivos, </w:t>
      </w:r>
      <w:r w:rsidR="00741516" w:rsidRPr="00B30385">
        <w:rPr>
          <w:rFonts w:ascii="Arial" w:eastAsiaTheme="minorHAnsi" w:hAnsi="Arial" w:cs="Arial"/>
          <w:bCs/>
          <w:sz w:val="22"/>
          <w:szCs w:val="22"/>
          <w:lang w:val="es-ES" w:eastAsia="en-US"/>
        </w:rPr>
        <w:t xml:space="preserve">en los términos previstos en la Orden HFP/1030/2021, de 29 de septiembre, </w:t>
      </w:r>
      <w:r w:rsidRPr="00B30385">
        <w:rPr>
          <w:rFonts w:ascii="Arial" w:eastAsiaTheme="minorHAnsi" w:hAnsi="Arial" w:cs="Arial"/>
          <w:bCs/>
          <w:sz w:val="22"/>
          <w:szCs w:val="22"/>
          <w:lang w:val="es-ES" w:eastAsia="en-US"/>
        </w:rPr>
        <w:t>y adoptar las medidas necesarias en caso de situaciones que puedan comprometer el retorno de fondos por insuficiente cumplimiento de tales hitos y objetivos.</w:t>
      </w:r>
    </w:p>
    <w:p w14:paraId="1E058C4B" w14:textId="3CDE6BF0" w:rsidR="00CD5515" w:rsidRPr="00B30385" w:rsidRDefault="00CD5515" w:rsidP="005D4587">
      <w:pPr>
        <w:tabs>
          <w:tab w:val="left" w:pos="426"/>
        </w:tabs>
        <w:spacing w:line="276" w:lineRule="auto"/>
        <w:jc w:val="both"/>
        <w:rPr>
          <w:rFonts w:ascii="Arial" w:eastAsiaTheme="minorHAnsi" w:hAnsi="Arial" w:cs="Arial"/>
          <w:bCs/>
          <w:sz w:val="22"/>
          <w:szCs w:val="22"/>
          <w:lang w:val="es-ES" w:eastAsia="en-US"/>
        </w:rPr>
      </w:pPr>
    </w:p>
    <w:p w14:paraId="3BDFA0D1" w14:textId="7D42FA51" w:rsidR="00CD5515" w:rsidRPr="00B30385" w:rsidRDefault="00CD5515" w:rsidP="004D451B">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Cada comunidad autónoma asume la responsabilidad en cuanto al seguimiento de la ejecución contable de los gastos imputados a proyectos o iniciativas del PRTR, de acuerdo con lo dispuesto en el artículo 46 del Real Decreto-ley 36/2020, de 30 de noviembre. Además, en tanto que entidades ejecutoras, asumirán las obligaciones de información y registro de la consecución de los correspondientes hitos y objetivos en los términos previstos en el artículo 3 de la Orden HFP/1030/2021, de 29 de septiembre, por la que se configura el sistema de gestión del Plan de recuperación, Transformación y Resiliencia, así como el resto de obligaciones establecidas en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16144DE2" w14:textId="77777777" w:rsidR="005D4587" w:rsidRPr="00B30385" w:rsidRDefault="005D4587" w:rsidP="005D4587">
      <w:pPr>
        <w:tabs>
          <w:tab w:val="left" w:pos="426"/>
        </w:tabs>
        <w:spacing w:line="276" w:lineRule="auto"/>
        <w:jc w:val="both"/>
        <w:rPr>
          <w:rFonts w:ascii="Arial" w:eastAsiaTheme="minorHAnsi" w:hAnsi="Arial" w:cs="Arial"/>
          <w:bCs/>
          <w:sz w:val="22"/>
          <w:szCs w:val="22"/>
          <w:lang w:val="es-ES" w:eastAsia="en-US"/>
        </w:rPr>
      </w:pPr>
    </w:p>
    <w:p w14:paraId="65D30170" w14:textId="295E0E7C" w:rsidR="005D4587" w:rsidRPr="00B30385" w:rsidRDefault="005D4587" w:rsidP="005D4587">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Si las </w:t>
      </w:r>
      <w:r w:rsidR="001369AF" w:rsidRPr="00B30385">
        <w:rPr>
          <w:rFonts w:ascii="Arial" w:eastAsiaTheme="minorHAnsi" w:hAnsi="Arial" w:cs="Arial"/>
          <w:bCs/>
          <w:sz w:val="22"/>
          <w:szCs w:val="22"/>
          <w:lang w:val="es-ES" w:eastAsia="en-US"/>
        </w:rPr>
        <w:t>comunidades a</w:t>
      </w:r>
      <w:r w:rsidRPr="00B30385">
        <w:rPr>
          <w:rFonts w:ascii="Arial" w:eastAsiaTheme="minorHAnsi" w:hAnsi="Arial" w:cs="Arial"/>
          <w:bCs/>
          <w:sz w:val="22"/>
          <w:szCs w:val="22"/>
          <w:lang w:val="es-ES" w:eastAsia="en-US"/>
        </w:rPr>
        <w:t xml:space="preserve">utónomas, en ejecución de medidas o proyectos integrados en el PRTR deben otorgar financiación a destinarios finales, públicos o privados, deberán establecer mecanismos que aseguren que las medidas a desarrollar por estos últimos contribuyen al logro de los objetivos previstos y que aportan la información que, en su caso, fuera necesaria para determinar el valor de los indicadores. La financiación a terceros debe vincularse al logro de los </w:t>
      </w:r>
      <w:r w:rsidR="00741516" w:rsidRPr="00B30385">
        <w:rPr>
          <w:rFonts w:ascii="Arial" w:eastAsiaTheme="minorHAnsi" w:hAnsi="Arial" w:cs="Arial"/>
          <w:bCs/>
          <w:sz w:val="22"/>
          <w:szCs w:val="22"/>
          <w:lang w:val="es-ES" w:eastAsia="en-US"/>
        </w:rPr>
        <w:t xml:space="preserve">hitos y </w:t>
      </w:r>
      <w:r w:rsidRPr="00B30385">
        <w:rPr>
          <w:rFonts w:ascii="Arial" w:eastAsiaTheme="minorHAnsi" w:hAnsi="Arial" w:cs="Arial"/>
          <w:bCs/>
          <w:sz w:val="22"/>
          <w:szCs w:val="22"/>
          <w:lang w:val="es-ES" w:eastAsia="en-US"/>
        </w:rPr>
        <w:t>objetivos que se persiguen.</w:t>
      </w:r>
    </w:p>
    <w:p w14:paraId="5A510DCD" w14:textId="77777777" w:rsidR="005D4587" w:rsidRPr="00B30385" w:rsidRDefault="005D4587" w:rsidP="005D4587">
      <w:pPr>
        <w:tabs>
          <w:tab w:val="left" w:pos="426"/>
        </w:tabs>
        <w:spacing w:line="276" w:lineRule="auto"/>
        <w:jc w:val="both"/>
        <w:rPr>
          <w:rFonts w:ascii="Arial" w:eastAsiaTheme="minorHAnsi" w:hAnsi="Arial" w:cs="Arial"/>
          <w:bCs/>
          <w:sz w:val="22"/>
          <w:szCs w:val="22"/>
          <w:lang w:val="es-ES" w:eastAsia="en-US"/>
        </w:rPr>
      </w:pPr>
    </w:p>
    <w:p w14:paraId="6AEB1B19" w14:textId="36BE9F39" w:rsidR="005D4587" w:rsidRPr="00B30385" w:rsidRDefault="005D4587" w:rsidP="005D4587">
      <w:pPr>
        <w:tabs>
          <w:tab w:val="left" w:pos="426"/>
        </w:tabs>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Es obligación de cada</w:t>
      </w:r>
      <w:r w:rsidR="001369AF" w:rsidRPr="00B30385">
        <w:rPr>
          <w:rFonts w:ascii="Arial" w:eastAsiaTheme="minorHAnsi" w:hAnsi="Arial" w:cs="Arial"/>
          <w:bCs/>
          <w:sz w:val="22"/>
          <w:szCs w:val="22"/>
          <w:lang w:val="es-ES" w:eastAsia="en-US"/>
        </w:rPr>
        <w:t xml:space="preserve"> c</w:t>
      </w:r>
      <w:r w:rsidRPr="00B30385">
        <w:rPr>
          <w:rFonts w:ascii="Arial" w:eastAsiaTheme="minorHAnsi" w:hAnsi="Arial" w:cs="Arial"/>
          <w:bCs/>
          <w:sz w:val="22"/>
          <w:szCs w:val="22"/>
          <w:lang w:val="es-ES" w:eastAsia="en-US"/>
        </w:rPr>
        <w:t xml:space="preserve">omunidad </w:t>
      </w:r>
      <w:r w:rsidR="001369AF" w:rsidRPr="00B30385">
        <w:rPr>
          <w:rFonts w:ascii="Arial" w:eastAsiaTheme="minorHAnsi" w:hAnsi="Arial" w:cs="Arial"/>
          <w:bCs/>
          <w:sz w:val="22"/>
          <w:szCs w:val="22"/>
          <w:lang w:val="es-ES" w:eastAsia="en-US"/>
        </w:rPr>
        <w:t>a</w:t>
      </w:r>
      <w:r w:rsidRPr="00B30385">
        <w:rPr>
          <w:rFonts w:ascii="Arial" w:eastAsiaTheme="minorHAnsi" w:hAnsi="Arial" w:cs="Arial"/>
          <w:bCs/>
          <w:sz w:val="22"/>
          <w:szCs w:val="22"/>
          <w:lang w:val="es-ES" w:eastAsia="en-US"/>
        </w:rPr>
        <w:t>utónoma el mantenimiento de una adecuada pista de auditoría de las mediciones de los respectivos indicadores y la obligación al mantenimiento de la documentación soporte conforme a lo previsto en el artículo 132 del Reglamento Financiero.</w:t>
      </w:r>
    </w:p>
    <w:p w14:paraId="5D2AFBCA" w14:textId="4CB18ED2" w:rsidR="00F53327" w:rsidRPr="00B30385" w:rsidRDefault="00F53327" w:rsidP="005D4587">
      <w:pPr>
        <w:tabs>
          <w:tab w:val="left" w:pos="426"/>
        </w:tabs>
        <w:spacing w:line="276" w:lineRule="auto"/>
        <w:jc w:val="both"/>
        <w:rPr>
          <w:rFonts w:ascii="Arial" w:eastAsiaTheme="minorHAnsi" w:hAnsi="Arial" w:cs="Arial"/>
          <w:bCs/>
          <w:sz w:val="22"/>
          <w:szCs w:val="22"/>
          <w:lang w:val="es-ES" w:eastAsia="en-US"/>
        </w:rPr>
      </w:pPr>
    </w:p>
    <w:p w14:paraId="12B40C03" w14:textId="77777777" w:rsidR="005D4587" w:rsidRPr="00B30385" w:rsidRDefault="005D4587" w:rsidP="00AA1BA3">
      <w:pPr>
        <w:tabs>
          <w:tab w:val="left" w:pos="426"/>
        </w:tabs>
        <w:spacing w:line="276" w:lineRule="auto"/>
        <w:jc w:val="both"/>
        <w:rPr>
          <w:rFonts w:ascii="Arial" w:eastAsiaTheme="minorHAnsi" w:hAnsi="Arial" w:cs="Arial"/>
          <w:b/>
          <w:bCs/>
          <w:sz w:val="22"/>
          <w:szCs w:val="22"/>
          <w:lang w:val="es-ES" w:eastAsia="en-US"/>
        </w:rPr>
      </w:pPr>
    </w:p>
    <w:p w14:paraId="6DC4B998" w14:textId="020D5EE7" w:rsidR="005D5562" w:rsidRPr="00B30385" w:rsidRDefault="00824088" w:rsidP="005D5562">
      <w:pPr>
        <w:spacing w:line="276" w:lineRule="auto"/>
        <w:jc w:val="both"/>
        <w:rPr>
          <w:rFonts w:ascii="Arial" w:eastAsiaTheme="minorHAnsi" w:hAnsi="Arial" w:cs="Arial"/>
          <w:b/>
          <w:bCs/>
          <w:sz w:val="22"/>
          <w:szCs w:val="22"/>
          <w:lang w:val="es-ES" w:eastAsia="en-US"/>
        </w:rPr>
      </w:pPr>
      <w:r w:rsidRPr="00B30385">
        <w:rPr>
          <w:rFonts w:ascii="Arial" w:eastAsiaTheme="minorHAnsi" w:hAnsi="Arial" w:cs="Arial"/>
          <w:b/>
          <w:bCs/>
          <w:sz w:val="22"/>
          <w:szCs w:val="22"/>
          <w:lang w:val="es-ES" w:eastAsia="en-US"/>
        </w:rPr>
        <w:t xml:space="preserve">Justificación y verificación: </w:t>
      </w:r>
      <w:r w:rsidR="005D5562" w:rsidRPr="00B30385">
        <w:rPr>
          <w:rFonts w:ascii="Arial" w:eastAsiaTheme="minorHAnsi" w:hAnsi="Arial" w:cs="Arial"/>
          <w:bCs/>
          <w:sz w:val="22"/>
          <w:szCs w:val="22"/>
          <w:lang w:val="es-ES" w:eastAsia="en-US"/>
        </w:rPr>
        <w:t>las comunidade</w:t>
      </w:r>
      <w:r w:rsidR="001709FB">
        <w:rPr>
          <w:rFonts w:ascii="Arial" w:eastAsiaTheme="minorHAnsi" w:hAnsi="Arial" w:cs="Arial"/>
          <w:bCs/>
          <w:sz w:val="22"/>
          <w:szCs w:val="22"/>
          <w:lang w:val="es-ES" w:eastAsia="en-US"/>
        </w:rPr>
        <w:t>s autónomas velarán por que Las intervenciones aprobadas sean ejecutada</w:t>
      </w:r>
      <w:r w:rsidR="005D5562" w:rsidRPr="00B30385">
        <w:rPr>
          <w:rFonts w:ascii="Arial" w:eastAsiaTheme="minorHAnsi" w:hAnsi="Arial" w:cs="Arial"/>
          <w:bCs/>
          <w:sz w:val="22"/>
          <w:szCs w:val="22"/>
          <w:lang w:val="es-ES" w:eastAsia="en-US"/>
        </w:rPr>
        <w:t>s conforme a los requisitos exigibles. Para ello, en el caso de ejecución directa, por convenios o por ayudas, solicitarán a los adjudicatarios la documentación e información necesaria, a efectos de realizar un adecuado seguimiento de la ejecución de los proyectos, lo cual deberá estar contemplado en los pliegos, convenios o bases.</w:t>
      </w:r>
    </w:p>
    <w:p w14:paraId="03FACC54" w14:textId="77777777" w:rsidR="005D5562" w:rsidRPr="00B30385" w:rsidRDefault="005D5562" w:rsidP="005D5562">
      <w:pPr>
        <w:spacing w:line="276" w:lineRule="auto"/>
        <w:jc w:val="both"/>
        <w:rPr>
          <w:rFonts w:ascii="Arial" w:eastAsiaTheme="minorHAnsi" w:hAnsi="Arial" w:cs="Arial"/>
          <w:bCs/>
          <w:sz w:val="22"/>
          <w:szCs w:val="22"/>
          <w:lang w:val="es-ES" w:eastAsia="en-US"/>
        </w:rPr>
      </w:pPr>
    </w:p>
    <w:p w14:paraId="4B0576EC" w14:textId="15DDEBB9" w:rsidR="005D5562" w:rsidRPr="00B30385" w:rsidRDefault="005D5562" w:rsidP="005D5562">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Serán las comunidades autónomas las responsables de la recopilación y valoración de la</w:t>
      </w:r>
      <w:r w:rsidR="00D43F5D">
        <w:rPr>
          <w:rFonts w:ascii="Arial" w:eastAsiaTheme="minorHAnsi" w:hAnsi="Arial" w:cs="Arial"/>
          <w:bCs/>
          <w:sz w:val="22"/>
          <w:szCs w:val="22"/>
          <w:lang w:val="es-ES" w:eastAsia="en-US"/>
        </w:rPr>
        <w:t xml:space="preserve"> </w:t>
      </w:r>
      <w:r w:rsidRPr="00B30385">
        <w:rPr>
          <w:rFonts w:ascii="Arial" w:eastAsiaTheme="minorHAnsi" w:hAnsi="Arial" w:cs="Arial"/>
          <w:bCs/>
          <w:sz w:val="22"/>
          <w:szCs w:val="22"/>
          <w:lang w:val="es-ES" w:eastAsia="en-US"/>
        </w:rPr>
        <w:t>documentación e información presentada por los adjudicatarios o destinatarios finales, para comprobar la adecuación de los proyectos a las condiciones de financiación, así como de la elaboración, remisión de información, e incorporación de la documentación acreditativa que sea necesaria para justificar el cumplimiento de los hitos y objetivos establecidos en Decisión de Implementación del Consejo  y en las Disposiciones operativas (OAs por sus siglas en inglés) así como de la preparación de la documentación acreditativa que se establezca en los mecanismos de verificación.</w:t>
      </w:r>
    </w:p>
    <w:p w14:paraId="79D90F48" w14:textId="77777777" w:rsidR="00824088" w:rsidRPr="00B30385" w:rsidRDefault="00824088" w:rsidP="00D227DF">
      <w:pPr>
        <w:spacing w:line="276" w:lineRule="auto"/>
        <w:jc w:val="both"/>
        <w:rPr>
          <w:rFonts w:ascii="Arial" w:eastAsiaTheme="minorHAnsi" w:hAnsi="Arial" w:cs="Arial"/>
          <w:b/>
          <w:bCs/>
          <w:sz w:val="22"/>
          <w:szCs w:val="22"/>
          <w:lang w:val="es-ES" w:eastAsia="en-US"/>
        </w:rPr>
      </w:pPr>
    </w:p>
    <w:p w14:paraId="433CE3E6" w14:textId="684D6D8C" w:rsidR="00C82C8A" w:rsidRPr="00B30385" w:rsidRDefault="00824088" w:rsidP="00285582">
      <w:pPr>
        <w:spacing w:line="276" w:lineRule="auto"/>
        <w:jc w:val="both"/>
        <w:rPr>
          <w:rFonts w:ascii="Arial" w:eastAsiaTheme="minorHAnsi" w:hAnsi="Arial" w:cs="Arial"/>
          <w:b/>
          <w:bCs/>
          <w:sz w:val="22"/>
          <w:szCs w:val="22"/>
          <w:lang w:val="es-ES" w:eastAsia="en-US"/>
        </w:rPr>
      </w:pPr>
      <w:r w:rsidRPr="00B30385">
        <w:rPr>
          <w:rFonts w:ascii="Arial" w:eastAsiaTheme="minorHAnsi" w:hAnsi="Arial" w:cs="Arial"/>
          <w:b/>
          <w:bCs/>
          <w:sz w:val="22"/>
          <w:szCs w:val="22"/>
          <w:lang w:val="es-ES" w:eastAsia="en-US"/>
        </w:rPr>
        <w:t xml:space="preserve">Informes justificativos: </w:t>
      </w:r>
      <w:r w:rsidR="00285582" w:rsidRPr="00B30385">
        <w:rPr>
          <w:rFonts w:ascii="Arial" w:eastAsiaTheme="minorHAnsi" w:hAnsi="Arial" w:cs="Arial"/>
          <w:b/>
          <w:bCs/>
          <w:sz w:val="22"/>
          <w:szCs w:val="22"/>
          <w:lang w:val="es-ES" w:eastAsia="en-US"/>
        </w:rPr>
        <w:t xml:space="preserve"> </w:t>
      </w:r>
      <w:r w:rsidR="00285582" w:rsidRPr="00B30385">
        <w:rPr>
          <w:rFonts w:ascii="Arial" w:eastAsiaTheme="minorHAnsi" w:hAnsi="Arial" w:cs="Arial"/>
          <w:bCs/>
          <w:sz w:val="22"/>
          <w:szCs w:val="22"/>
          <w:lang w:val="es-ES" w:eastAsia="en-US"/>
        </w:rPr>
        <w:t>c</w:t>
      </w:r>
      <w:r w:rsidR="00C82C8A" w:rsidRPr="00B30385">
        <w:rPr>
          <w:rFonts w:ascii="Arial" w:eastAsiaTheme="minorHAnsi" w:hAnsi="Arial" w:cs="Arial"/>
          <w:bCs/>
          <w:sz w:val="22"/>
          <w:szCs w:val="22"/>
          <w:lang w:val="es-ES" w:eastAsia="en-US"/>
        </w:rPr>
        <w:t>on el objeto de que se pueda comprobar la evolución del gasto realizado, el cumplimiento de hitos y objetivos, y la adecuación de los proyectos a los objetivos de la línea de inversión C14.I1, deberá cumplirse lo establecido en la Orden HFP/1030/2021, de 29 de septiembre, y en la Orden HFP/1031/2021</w:t>
      </w:r>
      <w:r w:rsidR="00FC1D86" w:rsidRPr="00B30385">
        <w:rPr>
          <w:rFonts w:ascii="Arial" w:eastAsiaTheme="minorHAnsi" w:hAnsi="Arial" w:cs="Arial"/>
          <w:bCs/>
          <w:sz w:val="22"/>
          <w:szCs w:val="22"/>
          <w:lang w:val="es-ES" w:eastAsia="en-US"/>
        </w:rPr>
        <w:t>, de 29 de septiembre</w:t>
      </w:r>
      <w:r w:rsidR="00C82C8A" w:rsidRPr="00B30385">
        <w:rPr>
          <w:rFonts w:ascii="Arial" w:eastAsiaTheme="minorHAnsi" w:hAnsi="Arial" w:cs="Arial"/>
          <w:bCs/>
          <w:sz w:val="22"/>
          <w:szCs w:val="22"/>
          <w:lang w:val="es-ES" w:eastAsia="en-US"/>
        </w:rPr>
        <w:t>.</w:t>
      </w:r>
    </w:p>
    <w:p w14:paraId="6207CA36" w14:textId="77777777" w:rsidR="00C82C8A" w:rsidRPr="00B30385" w:rsidRDefault="00C82C8A" w:rsidP="00285582">
      <w:pPr>
        <w:spacing w:line="276" w:lineRule="auto"/>
        <w:jc w:val="both"/>
        <w:rPr>
          <w:rFonts w:ascii="Arial" w:eastAsiaTheme="minorHAnsi" w:hAnsi="Arial" w:cs="Arial"/>
          <w:bCs/>
          <w:sz w:val="22"/>
          <w:szCs w:val="22"/>
          <w:lang w:val="es-ES" w:eastAsia="en-US"/>
        </w:rPr>
      </w:pPr>
    </w:p>
    <w:p w14:paraId="6A57F57A" w14:textId="26DEC544" w:rsidR="00C82C8A" w:rsidRPr="00B30385" w:rsidRDefault="00C82C8A" w:rsidP="00285582">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En concreto, en relación con el sistema de información de gestión y seguimiento, al que se refiere la </w:t>
      </w:r>
      <w:r w:rsidR="00741516" w:rsidRPr="00B30385">
        <w:rPr>
          <w:rFonts w:ascii="Arial" w:eastAsiaTheme="minorHAnsi" w:hAnsi="Arial" w:cs="Arial"/>
          <w:bCs/>
          <w:sz w:val="22"/>
          <w:szCs w:val="22"/>
          <w:lang w:val="es-ES" w:eastAsia="en-US"/>
        </w:rPr>
        <w:t>Orden HFP/1030/2021, de 29 de septiembre</w:t>
      </w:r>
      <w:r w:rsidR="00285582" w:rsidRPr="00B30385">
        <w:rPr>
          <w:rFonts w:ascii="Arial" w:eastAsiaTheme="minorHAnsi" w:hAnsi="Arial" w:cs="Arial"/>
          <w:bCs/>
          <w:sz w:val="22"/>
          <w:szCs w:val="22"/>
          <w:lang w:val="es-ES" w:eastAsia="en-US"/>
        </w:rPr>
        <w:t xml:space="preserve"> en su artículo 3, las comunidades a</w:t>
      </w:r>
      <w:r w:rsidRPr="00B30385">
        <w:rPr>
          <w:rFonts w:ascii="Arial" w:eastAsiaTheme="minorHAnsi" w:hAnsi="Arial" w:cs="Arial"/>
          <w:bCs/>
          <w:sz w:val="22"/>
          <w:szCs w:val="22"/>
          <w:lang w:val="es-ES" w:eastAsia="en-US"/>
        </w:rPr>
        <w:t xml:space="preserve">utónomas, como entidades ejecutoras del PRTR, serán responsables de registrar en el sistema informático de forma continuada el progreso de los indicadores de los hitos y objetivos más desagregados de la estructura en la que se descompone </w:t>
      </w:r>
      <w:r w:rsidR="00536D3C">
        <w:rPr>
          <w:rFonts w:ascii="Arial" w:eastAsiaTheme="minorHAnsi" w:hAnsi="Arial" w:cs="Arial"/>
          <w:bCs/>
          <w:sz w:val="22"/>
          <w:szCs w:val="22"/>
          <w:lang w:val="es-ES" w:eastAsia="en-US"/>
        </w:rPr>
        <w:t>el</w:t>
      </w:r>
      <w:r w:rsidRPr="00B30385">
        <w:rPr>
          <w:rFonts w:ascii="Arial" w:eastAsiaTheme="minorHAnsi" w:hAnsi="Arial" w:cs="Arial"/>
          <w:bCs/>
          <w:sz w:val="22"/>
          <w:szCs w:val="22"/>
          <w:lang w:val="es-ES" w:eastAsia="en-US"/>
        </w:rPr>
        <w:t xml:space="preserve"> subproyecto e incorporar la información acreditativa conforme a los mecanismos de verificación.</w:t>
      </w:r>
    </w:p>
    <w:p w14:paraId="03BB02E5" w14:textId="77777777" w:rsidR="00285582" w:rsidRPr="00B30385" w:rsidRDefault="00285582" w:rsidP="00D227DF">
      <w:pPr>
        <w:spacing w:line="276" w:lineRule="auto"/>
        <w:jc w:val="both"/>
        <w:rPr>
          <w:rFonts w:ascii="Arial" w:eastAsiaTheme="minorHAnsi" w:hAnsi="Arial" w:cs="Arial"/>
          <w:bCs/>
          <w:sz w:val="22"/>
          <w:szCs w:val="22"/>
          <w:lang w:val="es-ES" w:eastAsia="en-US"/>
        </w:rPr>
      </w:pPr>
    </w:p>
    <w:p w14:paraId="2A728DEA" w14:textId="2E33D307" w:rsidR="00285582" w:rsidRPr="00B30385" w:rsidRDefault="00285582" w:rsidP="00285582">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La información de los indicadores de </w:t>
      </w:r>
      <w:r w:rsidR="00741516" w:rsidRPr="00B30385">
        <w:rPr>
          <w:rFonts w:ascii="Arial" w:eastAsiaTheme="minorHAnsi" w:hAnsi="Arial" w:cs="Arial"/>
          <w:bCs/>
          <w:sz w:val="22"/>
          <w:szCs w:val="22"/>
          <w:lang w:val="es-ES" w:eastAsia="en-US"/>
        </w:rPr>
        <w:t xml:space="preserve">cumplimiento de los </w:t>
      </w:r>
      <w:r w:rsidRPr="00B30385">
        <w:rPr>
          <w:rFonts w:ascii="Arial" w:eastAsiaTheme="minorHAnsi" w:hAnsi="Arial" w:cs="Arial"/>
          <w:bCs/>
          <w:sz w:val="22"/>
          <w:szCs w:val="22"/>
          <w:lang w:val="es-ES" w:eastAsia="en-US"/>
        </w:rPr>
        <w:t>hitos y objetivos en curso y de sus mecanismos de</w:t>
      </w:r>
      <w:r w:rsidR="00741516" w:rsidRPr="00B30385">
        <w:rPr>
          <w:rFonts w:ascii="Arial" w:eastAsiaTheme="minorHAnsi" w:hAnsi="Arial" w:cs="Arial"/>
          <w:bCs/>
          <w:sz w:val="22"/>
          <w:szCs w:val="22"/>
          <w:lang w:val="es-ES" w:eastAsia="en-US"/>
        </w:rPr>
        <w:t xml:space="preserve"> </w:t>
      </w:r>
      <w:r w:rsidRPr="00B30385">
        <w:rPr>
          <w:rFonts w:ascii="Arial" w:eastAsiaTheme="minorHAnsi" w:hAnsi="Arial" w:cs="Arial"/>
          <w:bCs/>
          <w:sz w:val="22"/>
          <w:szCs w:val="22"/>
          <w:lang w:val="es-ES" w:eastAsia="en-US"/>
        </w:rPr>
        <w:t>verificación deberá estar actualizada en el sistema informático con el resultado de las mediciones correspondientes al último día de cada mes de referencia no más tarde del día diez del mes siguiente.</w:t>
      </w:r>
    </w:p>
    <w:p w14:paraId="5039E882" w14:textId="77777777" w:rsidR="00285582" w:rsidRPr="00B30385" w:rsidRDefault="00285582" w:rsidP="00285582">
      <w:pPr>
        <w:autoSpaceDE w:val="0"/>
        <w:autoSpaceDN w:val="0"/>
        <w:adjustRightInd w:val="0"/>
        <w:rPr>
          <w:rFonts w:ascii="Arial" w:eastAsiaTheme="minorHAnsi" w:hAnsi="Arial" w:cs="Arial"/>
          <w:sz w:val="22"/>
          <w:szCs w:val="22"/>
          <w:lang w:val="es-ES" w:eastAsia="en-US"/>
        </w:rPr>
      </w:pPr>
    </w:p>
    <w:p w14:paraId="1761D31C" w14:textId="38FB4CC5" w:rsidR="00285582" w:rsidRPr="00B30385" w:rsidRDefault="00285582" w:rsidP="00285582">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Una vez registrado en el sistema informático el cumplimiento de un </w:t>
      </w:r>
      <w:r w:rsidR="00FC1D86" w:rsidRPr="00B30385">
        <w:rPr>
          <w:rFonts w:ascii="Arial" w:eastAsiaTheme="minorHAnsi" w:hAnsi="Arial" w:cs="Arial"/>
          <w:bCs/>
          <w:sz w:val="22"/>
          <w:szCs w:val="22"/>
          <w:lang w:val="es-ES" w:eastAsia="en-US"/>
        </w:rPr>
        <w:t xml:space="preserve">hito </w:t>
      </w:r>
      <w:r w:rsidRPr="00B30385">
        <w:rPr>
          <w:rFonts w:ascii="Arial" w:eastAsiaTheme="minorHAnsi" w:hAnsi="Arial" w:cs="Arial"/>
          <w:bCs/>
          <w:sz w:val="22"/>
          <w:szCs w:val="22"/>
          <w:lang w:val="es-ES" w:eastAsia="en-US"/>
        </w:rPr>
        <w:t xml:space="preserve">u </w:t>
      </w:r>
      <w:r w:rsidR="00FC1D86" w:rsidRPr="00B30385">
        <w:rPr>
          <w:rFonts w:ascii="Arial" w:eastAsiaTheme="minorHAnsi" w:hAnsi="Arial" w:cs="Arial"/>
          <w:bCs/>
          <w:sz w:val="22"/>
          <w:szCs w:val="22"/>
          <w:lang w:val="es-ES" w:eastAsia="en-US"/>
        </w:rPr>
        <w:t>objetivo</w:t>
      </w:r>
      <w:r w:rsidR="00741516" w:rsidRPr="00B30385">
        <w:rPr>
          <w:rFonts w:ascii="Arial" w:eastAsiaTheme="minorHAnsi" w:hAnsi="Arial" w:cs="Arial"/>
          <w:bCs/>
          <w:sz w:val="22"/>
          <w:szCs w:val="22"/>
          <w:lang w:val="es-ES" w:eastAsia="en-US"/>
        </w:rPr>
        <w:t xml:space="preserve"> crítico o no crítico</w:t>
      </w:r>
      <w:r w:rsidRPr="00B30385">
        <w:rPr>
          <w:rFonts w:ascii="Arial" w:eastAsiaTheme="minorHAnsi" w:hAnsi="Arial" w:cs="Arial"/>
          <w:bCs/>
          <w:sz w:val="22"/>
          <w:szCs w:val="22"/>
          <w:lang w:val="es-ES" w:eastAsia="en-US"/>
        </w:rPr>
        <w:t>, se generará el Certificado de Cumplimiento que deberá ser firmado por el Órgano Gestor de la Entidad Ejecutora.</w:t>
      </w:r>
    </w:p>
    <w:p w14:paraId="795B673E" w14:textId="77777777" w:rsidR="00285582" w:rsidRPr="00B30385" w:rsidRDefault="00285582" w:rsidP="00285582">
      <w:pPr>
        <w:spacing w:line="276" w:lineRule="auto"/>
        <w:jc w:val="both"/>
        <w:rPr>
          <w:rFonts w:ascii="Arial" w:eastAsiaTheme="minorHAnsi" w:hAnsi="Arial" w:cs="Arial"/>
          <w:bCs/>
          <w:sz w:val="22"/>
          <w:szCs w:val="22"/>
          <w:lang w:val="es-ES" w:eastAsia="en-US"/>
        </w:rPr>
      </w:pPr>
    </w:p>
    <w:p w14:paraId="36559786" w14:textId="743FA4F8" w:rsidR="00285582" w:rsidRPr="00B30385" w:rsidRDefault="00285582" w:rsidP="00285582">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Igualmente, a partir de la información contenida en el sistema de información de gestión y seguimiento, cada comunidad autónoma como entidad ejecutora del PRTR generará el correspondiente Informe de Gestión al que se refiere el artículo 12 de la Orden HFP/1030/2021, </w:t>
      </w:r>
      <w:r w:rsidR="005A0CDA" w:rsidRPr="00B30385">
        <w:rPr>
          <w:rFonts w:ascii="Arial" w:eastAsiaTheme="minorHAnsi" w:hAnsi="Arial" w:cs="Arial"/>
          <w:bCs/>
          <w:sz w:val="22"/>
          <w:szCs w:val="22"/>
          <w:lang w:val="es-ES" w:eastAsia="en-US"/>
        </w:rPr>
        <w:t xml:space="preserve">de 29 de septiembre, </w:t>
      </w:r>
      <w:r w:rsidRPr="00B30385">
        <w:rPr>
          <w:rFonts w:ascii="Arial" w:eastAsiaTheme="minorHAnsi" w:hAnsi="Arial" w:cs="Arial"/>
          <w:bCs/>
          <w:sz w:val="22"/>
          <w:szCs w:val="22"/>
          <w:lang w:val="es-ES" w:eastAsia="en-US"/>
        </w:rPr>
        <w:t>siendo responsable de la información que consta en el mismo en relación con la ejecución del PRTR que se le haya asignado.</w:t>
      </w:r>
    </w:p>
    <w:p w14:paraId="4476FEDA" w14:textId="77777777" w:rsidR="00285582" w:rsidRPr="00B30385" w:rsidRDefault="00285582" w:rsidP="00285582">
      <w:pPr>
        <w:spacing w:line="276" w:lineRule="auto"/>
        <w:jc w:val="both"/>
        <w:rPr>
          <w:rFonts w:ascii="Arial" w:eastAsiaTheme="minorHAnsi" w:hAnsi="Arial" w:cs="Arial"/>
          <w:bCs/>
          <w:sz w:val="22"/>
          <w:szCs w:val="22"/>
          <w:lang w:val="es-ES" w:eastAsia="en-US"/>
        </w:rPr>
      </w:pPr>
    </w:p>
    <w:p w14:paraId="574F4F4D" w14:textId="7B475C22" w:rsidR="00285582" w:rsidRPr="00B30385" w:rsidRDefault="00285582" w:rsidP="00285582">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Estos informes se elaborarán con periodicidad semestral, con referencia a las fechas 30 de junio y 31 de diciembre y deberán ser formalizados por la entidad ejecutora antes del 20 de julio y del 20 de enero de cada año. Corresponderá la firma para esta formalización al órgano que se determine en el ámbito de la comunidad autónoma, según los criterios indicados en el</w:t>
      </w:r>
      <w:r w:rsidR="00FC1D86" w:rsidRPr="00B30385">
        <w:rPr>
          <w:rFonts w:ascii="Arial" w:eastAsiaTheme="minorHAnsi" w:hAnsi="Arial" w:cs="Arial"/>
          <w:bCs/>
          <w:sz w:val="22"/>
          <w:szCs w:val="22"/>
          <w:lang w:val="es-ES" w:eastAsia="en-US"/>
        </w:rPr>
        <w:t xml:space="preserve"> referido</w:t>
      </w:r>
      <w:r w:rsidRPr="00B30385">
        <w:rPr>
          <w:rFonts w:ascii="Arial" w:eastAsiaTheme="minorHAnsi" w:hAnsi="Arial" w:cs="Arial"/>
          <w:bCs/>
          <w:sz w:val="22"/>
          <w:szCs w:val="22"/>
          <w:lang w:val="es-ES" w:eastAsia="en-US"/>
        </w:rPr>
        <w:t xml:space="preserve"> artículo 12.</w:t>
      </w:r>
    </w:p>
    <w:p w14:paraId="79D6A6A5" w14:textId="77777777" w:rsidR="00285582" w:rsidRPr="00B30385" w:rsidRDefault="00285582" w:rsidP="00285582">
      <w:pPr>
        <w:spacing w:line="276" w:lineRule="auto"/>
        <w:jc w:val="both"/>
        <w:rPr>
          <w:rFonts w:ascii="Arial" w:eastAsiaTheme="minorHAnsi" w:hAnsi="Arial" w:cs="Arial"/>
          <w:bCs/>
          <w:sz w:val="22"/>
          <w:szCs w:val="22"/>
          <w:lang w:val="es-ES" w:eastAsia="en-US"/>
        </w:rPr>
      </w:pPr>
    </w:p>
    <w:p w14:paraId="1EA24C1B" w14:textId="59AEEDED" w:rsidR="00285582" w:rsidRPr="00B30385" w:rsidRDefault="00285582" w:rsidP="00285582">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 xml:space="preserve">Igualmente, se formulará trimestralmente el Informe de Previsiones al que se refiere </w:t>
      </w:r>
      <w:r w:rsidR="00FC1D86" w:rsidRPr="00B30385">
        <w:rPr>
          <w:rFonts w:ascii="Arial" w:eastAsiaTheme="minorHAnsi" w:hAnsi="Arial" w:cs="Arial"/>
          <w:bCs/>
          <w:sz w:val="22"/>
          <w:szCs w:val="22"/>
          <w:lang w:val="es-ES" w:eastAsia="en-US"/>
        </w:rPr>
        <w:t>el apartado 6 de dicho artículo.</w:t>
      </w:r>
    </w:p>
    <w:p w14:paraId="3A44AA8C" w14:textId="77777777" w:rsidR="00285582" w:rsidRPr="00B30385" w:rsidRDefault="00285582" w:rsidP="00285582">
      <w:pPr>
        <w:spacing w:line="276" w:lineRule="auto"/>
        <w:jc w:val="both"/>
        <w:rPr>
          <w:rFonts w:ascii="Arial" w:eastAsiaTheme="minorHAnsi" w:hAnsi="Arial" w:cs="Arial"/>
          <w:bCs/>
          <w:sz w:val="22"/>
          <w:szCs w:val="22"/>
          <w:lang w:val="es-ES" w:eastAsia="en-US"/>
        </w:rPr>
      </w:pPr>
    </w:p>
    <w:p w14:paraId="1C4867A0" w14:textId="556851F3" w:rsidR="00285582" w:rsidRPr="00B30385" w:rsidRDefault="00285582" w:rsidP="00285582">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Sin perjuicio del cumplimiento de las obligaciones establecidas por los demás apartados de este anexo, los órganos responsables de la gestión de las ayudas de cada comunidad autónoma deberán remitir al Ministerio de Industria, Comercio y Turismo, cualesquiera informes adicionales que se soliciten incluyendo la información necesaria para justificación de actuaciones.</w:t>
      </w:r>
    </w:p>
    <w:p w14:paraId="74EE6C22" w14:textId="77777777" w:rsidR="00285582" w:rsidRPr="00B30385" w:rsidRDefault="00285582" w:rsidP="00285582">
      <w:pPr>
        <w:spacing w:line="276" w:lineRule="auto"/>
        <w:jc w:val="both"/>
        <w:rPr>
          <w:rFonts w:ascii="Arial" w:eastAsiaTheme="minorHAnsi" w:hAnsi="Arial" w:cs="Arial"/>
          <w:bCs/>
          <w:sz w:val="22"/>
          <w:szCs w:val="22"/>
          <w:lang w:val="es-ES" w:eastAsia="en-US"/>
        </w:rPr>
      </w:pPr>
    </w:p>
    <w:p w14:paraId="6BA2EA05" w14:textId="528396C7" w:rsidR="00285582" w:rsidRPr="00B30385" w:rsidRDefault="00285582" w:rsidP="00285582">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Asimismo, deberán cumplir con cualquier requerimiento que se apruebe con carácter general para la ejecución y cumplimiento del PRTR, incluyendo la posibilidad de realizar auditorías externas. Por resolución de la Secretaría de Estado de Turismo podrán establecerse obligaciones específicas, aclaraciones o condiciones adicionales de información, especialmente respecto a la disponibilidad de la misma a través de medios digitales.</w:t>
      </w:r>
    </w:p>
    <w:p w14:paraId="1D3C434F" w14:textId="77777777" w:rsidR="00285582" w:rsidRPr="00B30385" w:rsidRDefault="00285582" w:rsidP="00285582">
      <w:pPr>
        <w:spacing w:line="276" w:lineRule="auto"/>
        <w:jc w:val="both"/>
        <w:rPr>
          <w:rFonts w:ascii="Arial" w:eastAsiaTheme="minorHAnsi" w:hAnsi="Arial" w:cs="Arial"/>
          <w:bCs/>
          <w:sz w:val="22"/>
          <w:szCs w:val="22"/>
          <w:lang w:val="es-ES" w:eastAsia="en-US"/>
        </w:rPr>
      </w:pPr>
    </w:p>
    <w:p w14:paraId="4CAFD09E" w14:textId="7D98CD50" w:rsidR="00285582" w:rsidRPr="00B30385" w:rsidRDefault="00285582" w:rsidP="00285582">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El incumplimiento por parte de las comunidades autónomas de las obligaciones a que se refiere este apartado y, en particular, la no certificación de los gastos que sean subvencionables podrá dar lugar, en caso de no subsanarse, al inicio de un procedimiento de reintegro por la totalidad de las cantidades percibidas y a la exigencia del interés de demora correspondiente desde el momento del pago de la subvención, de acuerdo con lo establecido en el artículo 37 de la Ley 38/2003, de 17 de noviembre</w:t>
      </w:r>
      <w:r w:rsidR="00FC1D86" w:rsidRPr="00B30385">
        <w:rPr>
          <w:rFonts w:ascii="Arial" w:eastAsiaTheme="minorHAnsi" w:hAnsi="Arial" w:cs="Arial"/>
          <w:bCs/>
          <w:sz w:val="22"/>
          <w:szCs w:val="22"/>
          <w:lang w:val="es-ES" w:eastAsia="en-US"/>
        </w:rPr>
        <w:t>, General de Subvenciones</w:t>
      </w:r>
      <w:r w:rsidRPr="00B30385">
        <w:rPr>
          <w:rFonts w:ascii="Arial" w:eastAsiaTheme="minorHAnsi" w:hAnsi="Arial" w:cs="Arial"/>
          <w:bCs/>
          <w:sz w:val="22"/>
          <w:szCs w:val="22"/>
          <w:lang w:val="es-ES" w:eastAsia="en-US"/>
        </w:rPr>
        <w:t>.</w:t>
      </w:r>
    </w:p>
    <w:p w14:paraId="1F538AAE" w14:textId="77777777" w:rsidR="00824088" w:rsidRPr="00B30385" w:rsidRDefault="00824088" w:rsidP="00D227DF">
      <w:pPr>
        <w:spacing w:line="276" w:lineRule="auto"/>
        <w:jc w:val="both"/>
        <w:rPr>
          <w:rFonts w:ascii="Arial" w:eastAsiaTheme="minorHAnsi" w:hAnsi="Arial" w:cs="Arial"/>
          <w:bCs/>
          <w:sz w:val="22"/>
          <w:szCs w:val="22"/>
          <w:lang w:val="es-ES" w:eastAsia="en-US"/>
        </w:rPr>
      </w:pPr>
    </w:p>
    <w:p w14:paraId="62FBEA8F" w14:textId="55157BCC" w:rsidR="004B7B6B" w:rsidRPr="00B30385" w:rsidRDefault="004B7B6B" w:rsidP="00D227DF">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
          <w:bCs/>
          <w:sz w:val="22"/>
          <w:szCs w:val="22"/>
          <w:lang w:val="es-ES" w:eastAsia="en-US"/>
        </w:rPr>
        <w:t>Suministro de infor</w:t>
      </w:r>
      <w:r w:rsidR="00824088" w:rsidRPr="00B30385">
        <w:rPr>
          <w:rFonts w:ascii="Arial" w:eastAsiaTheme="minorHAnsi" w:hAnsi="Arial" w:cs="Arial"/>
          <w:b/>
          <w:bCs/>
          <w:sz w:val="22"/>
          <w:szCs w:val="22"/>
          <w:lang w:val="es-ES" w:eastAsia="en-US"/>
        </w:rPr>
        <w:t>mación y rendición de cuentas:</w:t>
      </w:r>
      <w:r w:rsidR="00824088" w:rsidRPr="00B30385">
        <w:rPr>
          <w:rFonts w:ascii="Arial" w:eastAsiaTheme="minorHAnsi" w:hAnsi="Arial" w:cs="Arial"/>
          <w:bCs/>
          <w:sz w:val="22"/>
          <w:szCs w:val="22"/>
          <w:lang w:val="es-ES" w:eastAsia="en-US"/>
        </w:rPr>
        <w:t xml:space="preserve"> c</w:t>
      </w:r>
      <w:r w:rsidRPr="00B30385">
        <w:rPr>
          <w:rFonts w:ascii="Arial" w:eastAsiaTheme="minorHAnsi" w:hAnsi="Arial" w:cs="Arial"/>
          <w:bCs/>
          <w:sz w:val="22"/>
          <w:szCs w:val="22"/>
          <w:lang w:val="es-ES" w:eastAsia="en-US"/>
        </w:rPr>
        <w:t xml:space="preserve">orresponderá a cada comunidad </w:t>
      </w:r>
      <w:r w:rsidR="003A4C30" w:rsidRPr="00B30385">
        <w:rPr>
          <w:rFonts w:ascii="Arial" w:eastAsiaTheme="minorHAnsi" w:hAnsi="Arial" w:cs="Arial"/>
          <w:bCs/>
          <w:sz w:val="22"/>
          <w:szCs w:val="22"/>
          <w:lang w:val="es-ES" w:eastAsia="en-US"/>
        </w:rPr>
        <w:t xml:space="preserve">autónoma </w:t>
      </w:r>
      <w:r w:rsidRPr="00B30385">
        <w:rPr>
          <w:rFonts w:ascii="Arial" w:eastAsiaTheme="minorHAnsi" w:hAnsi="Arial" w:cs="Arial"/>
          <w:bCs/>
          <w:sz w:val="22"/>
          <w:szCs w:val="22"/>
          <w:lang w:val="es-ES" w:eastAsia="en-US"/>
        </w:rPr>
        <w:t>asegurar el cumplimiento de:</w:t>
      </w:r>
    </w:p>
    <w:p w14:paraId="75625660" w14:textId="097D6583" w:rsidR="00824088" w:rsidRPr="00B30385" w:rsidRDefault="004B7B6B" w:rsidP="00D227DF">
      <w:pPr>
        <w:pStyle w:val="Prrafodelista"/>
        <w:numPr>
          <w:ilvl w:val="0"/>
          <w:numId w:val="9"/>
        </w:numPr>
        <w:spacing w:line="276" w:lineRule="auto"/>
        <w:jc w:val="both"/>
        <w:rPr>
          <w:rFonts w:ascii="Arial" w:hAnsi="Arial" w:cs="Arial"/>
          <w:bCs/>
        </w:rPr>
      </w:pPr>
      <w:r w:rsidRPr="00B30385">
        <w:rPr>
          <w:rFonts w:ascii="Arial" w:hAnsi="Arial" w:cs="Arial"/>
          <w:bCs/>
        </w:rPr>
        <w:t>Las condiciones de suministro y publicación</w:t>
      </w:r>
      <w:r w:rsidR="00824088" w:rsidRPr="00B30385">
        <w:rPr>
          <w:rFonts w:ascii="Arial" w:hAnsi="Arial" w:cs="Arial"/>
          <w:bCs/>
        </w:rPr>
        <w:t xml:space="preserve"> periódica de información relativa a indicadores</w:t>
      </w:r>
      <w:r w:rsidR="003A4C30" w:rsidRPr="00B30385">
        <w:rPr>
          <w:rFonts w:ascii="Arial" w:hAnsi="Arial" w:cs="Arial"/>
          <w:bCs/>
        </w:rPr>
        <w:t xml:space="preserve"> de cumplimiento</w:t>
      </w:r>
      <w:r w:rsidR="00824088" w:rsidRPr="00B30385">
        <w:rPr>
          <w:rFonts w:ascii="Arial" w:hAnsi="Arial" w:cs="Arial"/>
          <w:bCs/>
        </w:rPr>
        <w:t>, en los términos en los que se establezca por el Ministerio de Hacienda</w:t>
      </w:r>
      <w:r w:rsidR="00F17762" w:rsidRPr="00B30385">
        <w:rPr>
          <w:rFonts w:ascii="Arial" w:hAnsi="Arial" w:cs="Arial"/>
          <w:bCs/>
        </w:rPr>
        <w:t xml:space="preserve"> y Función Pública,</w:t>
      </w:r>
      <w:r w:rsidR="00824088" w:rsidRPr="00B30385">
        <w:rPr>
          <w:rFonts w:ascii="Arial" w:hAnsi="Arial" w:cs="Arial"/>
          <w:bCs/>
        </w:rPr>
        <w:t xml:space="preserve"> de conformidad con la normativa nacional y </w:t>
      </w:r>
      <w:r w:rsidR="008162EE" w:rsidRPr="00B30385">
        <w:rPr>
          <w:rFonts w:ascii="Arial" w:hAnsi="Arial" w:cs="Arial"/>
          <w:bCs/>
        </w:rPr>
        <w:t>europea</w:t>
      </w:r>
      <w:r w:rsidR="00824088" w:rsidRPr="00B30385">
        <w:rPr>
          <w:rFonts w:ascii="Arial" w:hAnsi="Arial" w:cs="Arial"/>
          <w:bCs/>
        </w:rPr>
        <w:t>.</w:t>
      </w:r>
    </w:p>
    <w:p w14:paraId="58988654" w14:textId="7C57B670" w:rsidR="00824088" w:rsidRPr="00B30385" w:rsidRDefault="00824088" w:rsidP="00D227DF">
      <w:pPr>
        <w:pStyle w:val="Prrafodelista"/>
        <w:numPr>
          <w:ilvl w:val="0"/>
          <w:numId w:val="9"/>
        </w:numPr>
        <w:spacing w:line="276" w:lineRule="auto"/>
        <w:jc w:val="both"/>
        <w:rPr>
          <w:rFonts w:ascii="Arial" w:hAnsi="Arial" w:cs="Arial"/>
        </w:rPr>
      </w:pPr>
      <w:r w:rsidRPr="00B30385">
        <w:rPr>
          <w:rFonts w:ascii="Arial" w:hAnsi="Arial" w:cs="Arial"/>
          <w:bCs/>
        </w:rPr>
        <w:t xml:space="preserve">Las condiciones de suministro y publicación periódica de información en cuanto a ejecución del gasto en proyectos y medidas en relación al coste estimado, en los </w:t>
      </w:r>
      <w:r w:rsidRPr="00B30385">
        <w:rPr>
          <w:rFonts w:ascii="Arial" w:hAnsi="Arial" w:cs="Arial"/>
        </w:rPr>
        <w:t xml:space="preserve">términos en los que se establezca por el Ministerio de Hacienda </w:t>
      </w:r>
      <w:r w:rsidR="00F17762" w:rsidRPr="00B30385">
        <w:rPr>
          <w:rFonts w:ascii="Arial" w:hAnsi="Arial" w:cs="Arial"/>
        </w:rPr>
        <w:t xml:space="preserve">y Función Pública, </w:t>
      </w:r>
      <w:r w:rsidRPr="00B30385">
        <w:rPr>
          <w:rFonts w:ascii="Arial" w:hAnsi="Arial" w:cs="Arial"/>
        </w:rPr>
        <w:t xml:space="preserve">de conformidad con la normativa nacional y </w:t>
      </w:r>
      <w:r w:rsidR="008162EE" w:rsidRPr="00B30385">
        <w:rPr>
          <w:rFonts w:ascii="Arial" w:hAnsi="Arial" w:cs="Arial"/>
        </w:rPr>
        <w:t>europea</w:t>
      </w:r>
      <w:r w:rsidRPr="00B30385">
        <w:rPr>
          <w:rFonts w:ascii="Arial" w:hAnsi="Arial" w:cs="Arial"/>
        </w:rPr>
        <w:t>.</w:t>
      </w:r>
    </w:p>
    <w:p w14:paraId="6E661C41" w14:textId="77777777" w:rsidR="00824088" w:rsidRPr="00B30385" w:rsidRDefault="00824088" w:rsidP="00D227DF">
      <w:pPr>
        <w:pStyle w:val="Prrafodelista"/>
        <w:numPr>
          <w:ilvl w:val="0"/>
          <w:numId w:val="9"/>
        </w:numPr>
        <w:spacing w:line="276" w:lineRule="auto"/>
        <w:jc w:val="both"/>
        <w:rPr>
          <w:rFonts w:ascii="Arial" w:hAnsi="Arial" w:cs="Arial"/>
        </w:rPr>
      </w:pPr>
      <w:r w:rsidRPr="00B30385">
        <w:rPr>
          <w:rFonts w:ascii="Arial" w:hAnsi="Arial" w:cs="Arial"/>
        </w:rPr>
        <w:t>El mantenimiento de la adecuada pista de auditoría relativa a la medición de los indicadores y de conservación de la documentación soporte conforme a lo estipulado en el artículo 132 del Reglamento Financiero.</w:t>
      </w:r>
    </w:p>
    <w:p w14:paraId="5E56DE5A" w14:textId="77777777" w:rsidR="00824088" w:rsidRPr="00B30385" w:rsidRDefault="00824088" w:rsidP="00D227DF">
      <w:pPr>
        <w:pStyle w:val="Prrafodelista"/>
        <w:numPr>
          <w:ilvl w:val="0"/>
          <w:numId w:val="9"/>
        </w:numPr>
        <w:spacing w:line="276" w:lineRule="auto"/>
        <w:jc w:val="both"/>
        <w:rPr>
          <w:rFonts w:ascii="Arial" w:hAnsi="Arial" w:cs="Arial"/>
        </w:rPr>
      </w:pPr>
      <w:r w:rsidRPr="00B30385">
        <w:rPr>
          <w:rFonts w:ascii="Arial" w:hAnsi="Arial" w:cs="Arial"/>
        </w:rPr>
        <w:t>La obligación de presentar al final de la ejecución de la medida una cuenta justificativa sobre la utilización de los fondos recibidos para la misma, incluyendo:</w:t>
      </w:r>
    </w:p>
    <w:p w14:paraId="459CFC89" w14:textId="77777777" w:rsidR="00824088" w:rsidRPr="00B30385" w:rsidRDefault="00824088" w:rsidP="00D227DF">
      <w:pPr>
        <w:pStyle w:val="Default"/>
        <w:spacing w:line="276" w:lineRule="auto"/>
        <w:ind w:left="720"/>
        <w:jc w:val="both"/>
        <w:rPr>
          <w:sz w:val="22"/>
          <w:szCs w:val="22"/>
        </w:rPr>
      </w:pPr>
      <w:r w:rsidRPr="00B30385">
        <w:rPr>
          <w:sz w:val="22"/>
          <w:szCs w:val="22"/>
        </w:rPr>
        <w:t>a) Grado de cumplimiento de hitos y objetivos respecto de los fijados inicialmente o, en su caso, revisados.</w:t>
      </w:r>
    </w:p>
    <w:p w14:paraId="3290E571" w14:textId="77777777" w:rsidR="00824088" w:rsidRPr="00B30385" w:rsidRDefault="00824088" w:rsidP="00D227DF">
      <w:pPr>
        <w:pStyle w:val="Default"/>
        <w:spacing w:line="276" w:lineRule="auto"/>
        <w:ind w:left="720"/>
        <w:jc w:val="both"/>
        <w:rPr>
          <w:sz w:val="22"/>
          <w:szCs w:val="22"/>
        </w:rPr>
      </w:pPr>
      <w:r w:rsidRPr="00B30385">
        <w:rPr>
          <w:sz w:val="22"/>
          <w:szCs w:val="22"/>
        </w:rPr>
        <w:t>b) Coste real de la medida respecto del coste estimado inicialmente o revisado.</w:t>
      </w:r>
    </w:p>
    <w:p w14:paraId="7BBEF970" w14:textId="77777777" w:rsidR="00824088" w:rsidRPr="00B30385" w:rsidRDefault="00824088" w:rsidP="00D227DF">
      <w:pPr>
        <w:pStyle w:val="Default"/>
        <w:spacing w:line="276" w:lineRule="auto"/>
        <w:ind w:left="720"/>
        <w:jc w:val="both"/>
        <w:rPr>
          <w:sz w:val="22"/>
          <w:szCs w:val="22"/>
        </w:rPr>
      </w:pPr>
      <w:r w:rsidRPr="00B30385">
        <w:rPr>
          <w:sz w:val="22"/>
          <w:szCs w:val="22"/>
        </w:rPr>
        <w:t>c) Descripción de la medida y la manera de implementación, mecanismos de control aplicados en su ejecución.</w:t>
      </w:r>
    </w:p>
    <w:p w14:paraId="68743246" w14:textId="2AC557B4" w:rsidR="00824088" w:rsidRPr="00B30385" w:rsidRDefault="00824088" w:rsidP="00D227DF">
      <w:pPr>
        <w:pStyle w:val="Prrafodelista"/>
        <w:numPr>
          <w:ilvl w:val="0"/>
          <w:numId w:val="9"/>
        </w:numPr>
        <w:spacing w:line="276" w:lineRule="auto"/>
        <w:jc w:val="both"/>
        <w:rPr>
          <w:rFonts w:ascii="Arial" w:hAnsi="Arial" w:cs="Arial"/>
        </w:rPr>
      </w:pPr>
      <w:r w:rsidRPr="00B30385">
        <w:rPr>
          <w:rFonts w:ascii="Arial" w:hAnsi="Arial" w:cs="Arial"/>
        </w:rPr>
        <w:t>La obligación de presentar una cuenta justificativa final, tanto en lo que respecta a los importes utilizados como a los hitos y objetivos conseguidos, tras el cierre del Mecanismo de Recuperación y Resiliencia, es decir, tras todos los posibles controles nacionales y comunitarios que sobre las medidas financiadas con él puedan recaer.</w:t>
      </w:r>
    </w:p>
    <w:p w14:paraId="4CB9998C" w14:textId="26D7CC41" w:rsidR="00824088" w:rsidRPr="00B30385" w:rsidRDefault="00824088" w:rsidP="00D227DF">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En caso de cualquier incumplimiento de la comunidad</w:t>
      </w:r>
      <w:r w:rsidR="002F5043" w:rsidRPr="00B30385">
        <w:rPr>
          <w:rFonts w:ascii="Arial" w:eastAsiaTheme="minorHAnsi" w:hAnsi="Arial" w:cs="Arial"/>
          <w:bCs/>
          <w:sz w:val="22"/>
          <w:szCs w:val="22"/>
          <w:lang w:val="es-ES" w:eastAsia="en-US"/>
        </w:rPr>
        <w:t xml:space="preserve"> </w:t>
      </w:r>
      <w:r w:rsidR="003A4C30" w:rsidRPr="00B30385">
        <w:rPr>
          <w:rFonts w:ascii="Arial" w:eastAsiaTheme="minorHAnsi" w:hAnsi="Arial" w:cs="Arial"/>
          <w:bCs/>
          <w:sz w:val="22"/>
          <w:szCs w:val="22"/>
          <w:lang w:val="es-ES" w:eastAsia="en-US"/>
        </w:rPr>
        <w:t xml:space="preserve">autónoma </w:t>
      </w:r>
      <w:r w:rsidRPr="00B30385">
        <w:rPr>
          <w:rFonts w:ascii="Arial" w:eastAsiaTheme="minorHAnsi" w:hAnsi="Arial" w:cs="Arial"/>
          <w:bCs/>
          <w:sz w:val="22"/>
          <w:szCs w:val="22"/>
          <w:lang w:val="es-ES" w:eastAsia="en-US"/>
        </w:rPr>
        <w:t>puesto de manifiesto en el desarrollo de las actuaciones de control de la autoridad nacional o de instituciones comunitarias que dé lugar a una merma en el retorno de Fondos, esta se trasladará a la comunidad en aplicación de lo señalado en el artículo 7 de la Ley</w:t>
      </w:r>
      <w:r w:rsidR="00FC1D86" w:rsidRPr="00B30385">
        <w:rPr>
          <w:rFonts w:ascii="Arial" w:eastAsiaTheme="minorHAnsi" w:hAnsi="Arial" w:cs="Arial"/>
          <w:bCs/>
          <w:sz w:val="22"/>
          <w:szCs w:val="22"/>
          <w:lang w:val="es-ES" w:eastAsia="en-US"/>
        </w:rPr>
        <w:t xml:space="preserve"> 38/2003, de 17 de noviembre</w:t>
      </w:r>
      <w:r w:rsidRPr="00B30385">
        <w:rPr>
          <w:rFonts w:ascii="Arial" w:eastAsiaTheme="minorHAnsi" w:hAnsi="Arial" w:cs="Arial"/>
          <w:bCs/>
          <w:sz w:val="22"/>
          <w:szCs w:val="22"/>
          <w:lang w:val="es-ES" w:eastAsia="en-US"/>
        </w:rPr>
        <w:t>.</w:t>
      </w:r>
    </w:p>
    <w:p w14:paraId="07445BD7" w14:textId="77777777" w:rsidR="00D227DF" w:rsidRPr="00B30385" w:rsidRDefault="00D227DF" w:rsidP="00D227DF">
      <w:pPr>
        <w:spacing w:line="276" w:lineRule="auto"/>
        <w:jc w:val="both"/>
        <w:rPr>
          <w:rFonts w:ascii="Arial" w:eastAsiaTheme="minorHAnsi" w:hAnsi="Arial" w:cs="Arial"/>
          <w:bCs/>
          <w:sz w:val="22"/>
          <w:szCs w:val="22"/>
          <w:lang w:val="es-ES" w:eastAsia="en-US"/>
        </w:rPr>
      </w:pPr>
    </w:p>
    <w:p w14:paraId="6484019F" w14:textId="55874593" w:rsidR="00824088" w:rsidRPr="00B30385" w:rsidRDefault="00824088" w:rsidP="00D227DF">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
          <w:bCs/>
          <w:sz w:val="22"/>
          <w:szCs w:val="22"/>
          <w:lang w:val="es-ES" w:eastAsia="en-US"/>
        </w:rPr>
        <w:t>Obligación de sometimiento a las dispo</w:t>
      </w:r>
      <w:r w:rsidR="00AA1BA3" w:rsidRPr="00B30385">
        <w:rPr>
          <w:rFonts w:ascii="Arial" w:eastAsiaTheme="minorHAnsi" w:hAnsi="Arial" w:cs="Arial"/>
          <w:b/>
          <w:bCs/>
          <w:sz w:val="22"/>
          <w:szCs w:val="22"/>
          <w:lang w:val="es-ES" w:eastAsia="en-US"/>
        </w:rPr>
        <w:t xml:space="preserve">siciones </w:t>
      </w:r>
      <w:r w:rsidR="008162EE" w:rsidRPr="00B30385">
        <w:rPr>
          <w:rFonts w:ascii="Arial" w:eastAsiaTheme="minorHAnsi" w:hAnsi="Arial" w:cs="Arial"/>
          <w:b/>
          <w:bCs/>
          <w:sz w:val="22"/>
          <w:szCs w:val="22"/>
          <w:lang w:val="es-ES" w:eastAsia="en-US"/>
        </w:rPr>
        <w:t xml:space="preserve">nacionales y europeas </w:t>
      </w:r>
      <w:r w:rsidR="00AA1BA3" w:rsidRPr="00B30385">
        <w:rPr>
          <w:rFonts w:ascii="Arial" w:eastAsiaTheme="minorHAnsi" w:hAnsi="Arial" w:cs="Arial"/>
          <w:b/>
          <w:bCs/>
          <w:sz w:val="22"/>
          <w:szCs w:val="22"/>
          <w:lang w:val="es-ES" w:eastAsia="en-US"/>
        </w:rPr>
        <w:t>sobre el Mecanismo de Recuperación y R</w:t>
      </w:r>
      <w:r w:rsidRPr="00B30385">
        <w:rPr>
          <w:rFonts w:ascii="Arial" w:eastAsiaTheme="minorHAnsi" w:hAnsi="Arial" w:cs="Arial"/>
          <w:b/>
          <w:bCs/>
          <w:sz w:val="22"/>
          <w:szCs w:val="22"/>
          <w:lang w:val="es-ES" w:eastAsia="en-US"/>
        </w:rPr>
        <w:t>esiliencia</w:t>
      </w:r>
      <w:r w:rsidRPr="00B30385">
        <w:rPr>
          <w:rFonts w:ascii="Arial" w:eastAsiaTheme="minorHAnsi" w:hAnsi="Arial" w:cs="Arial"/>
          <w:bCs/>
          <w:sz w:val="22"/>
          <w:szCs w:val="22"/>
          <w:lang w:val="es-ES" w:eastAsia="en-US"/>
        </w:rPr>
        <w:t>:</w:t>
      </w:r>
    </w:p>
    <w:p w14:paraId="06B69BE7" w14:textId="77777777" w:rsidR="00054EE2" w:rsidRPr="00054EE2" w:rsidRDefault="00054EE2" w:rsidP="00054EE2">
      <w:pPr>
        <w:pStyle w:val="Default"/>
        <w:spacing w:line="276" w:lineRule="auto"/>
        <w:jc w:val="both"/>
        <w:rPr>
          <w:sz w:val="22"/>
          <w:szCs w:val="22"/>
        </w:rPr>
      </w:pPr>
      <w:r w:rsidRPr="00054EE2">
        <w:rPr>
          <w:sz w:val="22"/>
          <w:szCs w:val="22"/>
        </w:rPr>
        <w:t>Las Comunidades Autónomas quedarán sometidas a la totalidad de la normativa reguladora del Mecanismo de Recuperación y Resiliencia, y, en particular, en lo relativo a (enumeración no exhaustiva):</w:t>
      </w:r>
    </w:p>
    <w:p w14:paraId="26878E0A" w14:textId="77777777" w:rsidR="00054EE2" w:rsidRPr="00054EE2" w:rsidRDefault="00054EE2" w:rsidP="00054EE2">
      <w:pPr>
        <w:pStyle w:val="Prrafodelista"/>
        <w:numPr>
          <w:ilvl w:val="0"/>
          <w:numId w:val="21"/>
        </w:numPr>
        <w:spacing w:after="0" w:line="276" w:lineRule="auto"/>
        <w:ind w:left="714" w:hanging="357"/>
        <w:contextualSpacing w:val="0"/>
        <w:jc w:val="both"/>
        <w:rPr>
          <w:rFonts w:ascii="Arial" w:hAnsi="Arial" w:cs="Arial"/>
          <w:color w:val="000000"/>
        </w:rPr>
      </w:pPr>
      <w:r w:rsidRPr="00054EE2">
        <w:rPr>
          <w:rFonts w:ascii="Arial" w:hAnsi="Arial" w:cs="Arial"/>
        </w:rPr>
        <w:t>Con la finalidad de dar cumplimiento a las obligaciones que el artículo 22 del Reglamento (UE) 241/2021 del Parlamento Europeo y del Consejo, de 12 de febrero de 2021, impone a España en relación con la protección de los intereses financieros de la Unión como beneficiario de los fondos del MRR, las Comunidades Autónomas y las ciudades de Ceuta y Melilla como entidades ejecutoras deberán disponer de un «Plan de medidas antifraude» que les permitan garantizar y declarar que, en su respectivo ámbito de actuación, los fondos correspondientes se han utilizado de conformidad con las normas aplicables, en particular, en lo que se refiere a la prevención, detección y corrección del fraude, la corrupción y los conflictos de intereses, según lo estipulado en la el artículo 6 de la Orden HFP/1031/2021. Se configuran como actuaciones obligatorias para los órganos gestores, la evaluación de riesgo de fraude, la cumplimentación de la Declaración de Ausencia de Conflicto de Intereses (DACI) y la disponibilidad de un procedimiento para abordar conflictos de intereses. Así mismo, el Plan de Medidas Antifraude deberá cumplir con los requerimientos mínimos establecidos en el artículo 6.5 de la Orden HFP/1031/2021, de 29 de septiembre.</w:t>
      </w:r>
    </w:p>
    <w:p w14:paraId="3960D40C" w14:textId="77777777" w:rsidR="00054EE2" w:rsidRPr="00054EE2" w:rsidRDefault="00054EE2" w:rsidP="00054EE2">
      <w:pPr>
        <w:pStyle w:val="Prrafodelista"/>
        <w:numPr>
          <w:ilvl w:val="0"/>
          <w:numId w:val="21"/>
        </w:numPr>
        <w:spacing w:after="0" w:line="276" w:lineRule="auto"/>
        <w:ind w:left="714" w:hanging="357"/>
        <w:contextualSpacing w:val="0"/>
        <w:jc w:val="both"/>
        <w:rPr>
          <w:rFonts w:ascii="Arial" w:hAnsi="Arial" w:cs="Arial"/>
        </w:rPr>
      </w:pPr>
      <w:r w:rsidRPr="00054EE2">
        <w:rPr>
          <w:rFonts w:ascii="Arial" w:hAnsi="Arial" w:cs="Arial"/>
        </w:rPr>
        <w:t>En cuanto a la regularidad del gasto, y, en particular, respecto a los controles que se han de aplicar para garantizar que el diseño de inversiones cumple dicha normativa en las medidas que se ejecuten por las Comunidades Autónomas, con especial referencia a los supuestos en los que vayan a participar varias administraciones públicas, en los que se debe tener especial cuidado con las reglas de acumulación de ayudas y las de incompatibilidad entre ayudas comunitarias, así como con las intensidades máximas, procurando que las categorías de ayudas, en la medida de lo posible, no sean concurrentes sino complementarias y que los gastos elegibles no sean los mismos.</w:t>
      </w:r>
    </w:p>
    <w:p w14:paraId="52B3B5F6" w14:textId="77777777" w:rsidR="00054EE2" w:rsidRPr="00054EE2" w:rsidRDefault="00054EE2" w:rsidP="00054EE2">
      <w:pPr>
        <w:pStyle w:val="Prrafodelista"/>
        <w:numPr>
          <w:ilvl w:val="0"/>
          <w:numId w:val="21"/>
        </w:numPr>
        <w:spacing w:after="0" w:line="276" w:lineRule="auto"/>
        <w:ind w:left="714" w:hanging="357"/>
        <w:contextualSpacing w:val="0"/>
        <w:jc w:val="both"/>
        <w:rPr>
          <w:rFonts w:ascii="Arial" w:hAnsi="Arial" w:cs="Arial"/>
        </w:rPr>
      </w:pPr>
      <w:r w:rsidRPr="00054EE2">
        <w:rPr>
          <w:rFonts w:ascii="Arial" w:hAnsi="Arial" w:cs="Arial"/>
        </w:rPr>
        <w:t>Tanto para el propósito de control del cumplimiento de lo anterior como en relación con la prevención de la doble financiación, la Base de Datos Nacional de Subvenciones (BDNS) se configura como una herramienta fundamental, por lo que se deberá instar a las Comunidades Autónomas a su utilización como herramienta de consulta en el procedimiento de concesión de ayudas e insistir en la necesidad de cumplir adecuadamente, por su parte, con las obligaciones de suministro de información a la misma (Real Decreto 130/2019, de 8 de marzo).</w:t>
      </w:r>
    </w:p>
    <w:p w14:paraId="535883E5" w14:textId="77777777" w:rsidR="00054EE2" w:rsidRPr="00054EE2" w:rsidRDefault="00054EE2" w:rsidP="00054EE2">
      <w:pPr>
        <w:pStyle w:val="Prrafodelista"/>
        <w:numPr>
          <w:ilvl w:val="0"/>
          <w:numId w:val="21"/>
        </w:numPr>
        <w:spacing w:after="0" w:line="276" w:lineRule="auto"/>
        <w:ind w:left="714" w:hanging="357"/>
        <w:contextualSpacing w:val="0"/>
        <w:jc w:val="both"/>
        <w:rPr>
          <w:rFonts w:ascii="Arial" w:hAnsi="Arial" w:cs="Arial"/>
        </w:rPr>
      </w:pPr>
      <w:r w:rsidRPr="00054EE2">
        <w:rPr>
          <w:rFonts w:ascii="Arial" w:hAnsi="Arial" w:cs="Arial"/>
        </w:rPr>
        <w:t xml:space="preserve">Contribución a la fiabilidad del sistema en general y del sistema de seguimiento de indicadores del cumplimiento de hitos y objetivos y de seguimiento del coste estimado en particular. </w:t>
      </w:r>
    </w:p>
    <w:p w14:paraId="05C8C6C1" w14:textId="77777777" w:rsidR="00054EE2" w:rsidRPr="00054EE2" w:rsidRDefault="00054EE2" w:rsidP="00054EE2">
      <w:pPr>
        <w:pStyle w:val="Prrafodelista"/>
        <w:numPr>
          <w:ilvl w:val="0"/>
          <w:numId w:val="21"/>
        </w:numPr>
        <w:spacing w:after="0" w:line="276" w:lineRule="auto"/>
        <w:ind w:left="714" w:hanging="357"/>
        <w:contextualSpacing w:val="0"/>
        <w:jc w:val="both"/>
        <w:rPr>
          <w:rFonts w:ascii="Arial" w:hAnsi="Arial" w:cs="Arial"/>
        </w:rPr>
      </w:pPr>
      <w:r w:rsidRPr="00054EE2">
        <w:rPr>
          <w:rFonts w:ascii="Arial" w:hAnsi="Arial" w:cs="Arial"/>
        </w:rPr>
        <w:t>Requisitos de pista de auditoría. Es fundamental que se establezca la obligación de guardar la trazabilidad de cada una de las medidas y cada uno de los perceptores finales de los fondos, así como de disponer de un sistema que permita calcular y seguir los objetivos cuyo nivel de consecución cada Comunidad Autónoma tiene que reportar. Esta obligación de pista de auditoría alcanza a la relativa al cumplimiento de hitos y objetivos y medición de indicadores.</w:t>
      </w:r>
    </w:p>
    <w:p w14:paraId="027D966F" w14:textId="77777777" w:rsidR="00054EE2" w:rsidRPr="00054EE2" w:rsidRDefault="00054EE2" w:rsidP="00054EE2">
      <w:pPr>
        <w:pStyle w:val="Prrafodelista"/>
        <w:numPr>
          <w:ilvl w:val="0"/>
          <w:numId w:val="21"/>
        </w:numPr>
        <w:spacing w:after="0" w:line="276" w:lineRule="auto"/>
        <w:ind w:left="714" w:hanging="357"/>
        <w:contextualSpacing w:val="0"/>
        <w:jc w:val="both"/>
        <w:rPr>
          <w:rFonts w:ascii="Arial" w:hAnsi="Arial" w:cs="Arial"/>
        </w:rPr>
      </w:pPr>
      <w:r w:rsidRPr="00054EE2">
        <w:rPr>
          <w:rFonts w:ascii="Arial" w:hAnsi="Arial" w:cs="Arial"/>
        </w:rPr>
        <w:t>Con la finalidad de dar adecuado cumplimiento al mandato establecido en la letra d) del apartado 2 del artículo 22 del Reglamento (UE) 2012/241 del Parlamento Europeo y del Consejo, las Comunidades Autónomas, como entidades ejecutoras llevarán a cabo lo indicado en el artículo 8 de la Orden HFP/1030/2021, en relación con la identificación del perceptor final de los fondos, beneficiarios de las ayudas, contratistas y subcontratistas y a la aportación de esta información.</w:t>
      </w:r>
    </w:p>
    <w:p w14:paraId="670F0288" w14:textId="7DEA1766" w:rsidR="00054EE2" w:rsidRPr="004D451B" w:rsidRDefault="00054EE2" w:rsidP="004D451B">
      <w:pPr>
        <w:pStyle w:val="Prrafodelista"/>
        <w:numPr>
          <w:ilvl w:val="0"/>
          <w:numId w:val="21"/>
        </w:numPr>
        <w:spacing w:after="0" w:line="276" w:lineRule="auto"/>
        <w:jc w:val="both"/>
        <w:rPr>
          <w:rFonts w:ascii="Arial" w:hAnsi="Arial" w:cs="Arial"/>
        </w:rPr>
      </w:pPr>
      <w:r w:rsidRPr="00054EE2">
        <w:rPr>
          <w:rFonts w:ascii="Arial" w:hAnsi="Arial" w:cs="Arial"/>
        </w:rPr>
        <w:t>Específicamente, deberá preverse la aceptación por parte de los perceptores finales de los fondos de la cesión de datos entre las Administraciones Públicas implicadas para dar cumplimiento a lo previsto en la normativa europea que es de aplicación y de conformidad con la Ley 3/2018, de 5 de diciembre, de Protección de Datos Personales y garantía de los derechos digitales, conforme al modelo establecido en el Anexo IV.B de la Orden HFP/1030/2021, de 29 de septiembre.</w:t>
      </w:r>
    </w:p>
    <w:p w14:paraId="64C265D0" w14:textId="37B0F0EC" w:rsidR="00054EE2" w:rsidRPr="004D451B" w:rsidRDefault="00054EE2" w:rsidP="004D451B">
      <w:pPr>
        <w:pStyle w:val="Prrafodelista"/>
        <w:numPr>
          <w:ilvl w:val="0"/>
          <w:numId w:val="21"/>
        </w:numPr>
        <w:spacing w:after="0" w:line="276" w:lineRule="auto"/>
        <w:jc w:val="both"/>
        <w:rPr>
          <w:rFonts w:ascii="Arial" w:hAnsi="Arial" w:cs="Arial"/>
        </w:rPr>
      </w:pPr>
      <w:r w:rsidRPr="00054EE2">
        <w:rPr>
          <w:rFonts w:ascii="Arial" w:hAnsi="Arial" w:cs="Arial"/>
        </w:rPr>
        <w:t xml:space="preserve">La previsión del art.4.4 de la Orden HFP/1030/2021, en relación con el etiquetado verde y el etiquetado digital, que indica que los órganos gestores que estimen posibles incumplimientos, tanto en el desarrollo temporal como en las previsiones finales, en los valores comprometidos en los subproyectos en los que participan, darán traslado del resultado de su evaluación a la Autoridad Responsable. </w:t>
      </w:r>
    </w:p>
    <w:p w14:paraId="10C8C132" w14:textId="77777777" w:rsidR="00054EE2" w:rsidRPr="00054EE2" w:rsidRDefault="00054EE2" w:rsidP="00054EE2">
      <w:pPr>
        <w:pStyle w:val="Prrafodelista"/>
        <w:numPr>
          <w:ilvl w:val="0"/>
          <w:numId w:val="21"/>
        </w:numPr>
        <w:spacing w:after="0" w:line="276" w:lineRule="auto"/>
        <w:ind w:left="714" w:hanging="357"/>
        <w:contextualSpacing w:val="0"/>
        <w:jc w:val="both"/>
        <w:rPr>
          <w:rFonts w:ascii="Arial" w:hAnsi="Arial" w:cs="Arial"/>
        </w:rPr>
      </w:pPr>
      <w:r w:rsidRPr="00054EE2">
        <w:rPr>
          <w:rFonts w:ascii="Arial" w:hAnsi="Arial" w:cs="Arial"/>
        </w:rPr>
        <w:t>Las obligaciones de autoevaluación establecidas en la Orden HFP/1030/2021 que les sean de aplicación.</w:t>
      </w:r>
    </w:p>
    <w:p w14:paraId="00A84C79" w14:textId="77777777" w:rsidR="00054EE2" w:rsidRPr="00054EE2" w:rsidRDefault="00054EE2" w:rsidP="00054EE2">
      <w:pPr>
        <w:pStyle w:val="Prrafodelista"/>
        <w:numPr>
          <w:ilvl w:val="0"/>
          <w:numId w:val="21"/>
        </w:numPr>
        <w:spacing w:after="0" w:line="276" w:lineRule="auto"/>
        <w:ind w:left="714" w:hanging="357"/>
        <w:contextualSpacing w:val="0"/>
        <w:jc w:val="both"/>
        <w:rPr>
          <w:rFonts w:ascii="Arial" w:hAnsi="Arial" w:cs="Arial"/>
        </w:rPr>
      </w:pPr>
      <w:r w:rsidRPr="00054EE2">
        <w:rPr>
          <w:rFonts w:ascii="Arial" w:hAnsi="Arial" w:cs="Arial"/>
        </w:rPr>
        <w:t>El cumplimiento del principio DNSH y el etiquetado climático, conforme a lo previsto en el Plan de Recuperación, Transformación y Resiliencia (PRTR), en el Reglamento (UE) 2021/241 del Parlamento Europeo y del Consejo, de 12 de febrero de 2021, por el que se establece el Mecanismo de Recuperación y Resiliencia, y su normativa de desarrollo, así como en la Decisión de Ejecución del Consejo relativa a la aprobación de la evaluación del plan de recuperación y resiliencia de España. Para ello, las Comunidades Autónomas preverán mecanismos de verificación del cumplimiento del principio DNSH y medidas correctoras para asegurar su implementación. Asimismo, las Comunidades Autónomas se asegurarán del reintegro de las cuantías percibidas por las personas o entidades destinatarias finales en el caso de incumplimiento del principio de DNSH y el etiquetado climático.</w:t>
      </w:r>
    </w:p>
    <w:p w14:paraId="538A5F00" w14:textId="77777777" w:rsidR="00054EE2" w:rsidRPr="00054EE2" w:rsidRDefault="00054EE2" w:rsidP="00054EE2">
      <w:pPr>
        <w:pStyle w:val="Prrafodelista"/>
        <w:numPr>
          <w:ilvl w:val="0"/>
          <w:numId w:val="21"/>
        </w:numPr>
        <w:spacing w:after="0" w:line="276" w:lineRule="auto"/>
        <w:jc w:val="both"/>
        <w:rPr>
          <w:rFonts w:ascii="Arial" w:hAnsi="Arial" w:cs="Arial"/>
        </w:rPr>
      </w:pPr>
      <w:r w:rsidRPr="00054EE2">
        <w:rPr>
          <w:rFonts w:ascii="Arial" w:hAnsi="Arial" w:cs="Arial"/>
        </w:rPr>
        <w:t>En virtud de lo establecido en el artículo 22.2.e) del Reglamento (UE) 2021/241, de 12 de febrero de 2021,y el artículo 129 del Reglamento Financiero (Reglamento (UE, Euratom) 2018/1046 del Parlamento Europeo y del Consejo, de 18 de julio de 2018) la percepción de fondos del Plan de Recuperación y Resiliencia estará condicionada a que se presente compromiso por escrito para conceder los derechos y los accesos necesarios para garantizar que la Comisión, la OLAF, el Tribunal de Cuentas Europeo, la Fiscalía Europea y las autoridades nacionales competentes ejerzan sus competencias de control.</w:t>
      </w:r>
    </w:p>
    <w:p w14:paraId="786DDA62" w14:textId="77777777" w:rsidR="00054EE2" w:rsidRPr="00054EE2" w:rsidRDefault="00054EE2" w:rsidP="00054EE2">
      <w:pPr>
        <w:pStyle w:val="Prrafodelista"/>
        <w:numPr>
          <w:ilvl w:val="0"/>
          <w:numId w:val="21"/>
        </w:numPr>
        <w:spacing w:after="0" w:line="276" w:lineRule="auto"/>
        <w:ind w:left="714" w:hanging="357"/>
        <w:contextualSpacing w:val="0"/>
        <w:jc w:val="both"/>
        <w:rPr>
          <w:rFonts w:ascii="Arial" w:hAnsi="Arial" w:cs="Arial"/>
        </w:rPr>
      </w:pPr>
      <w:r w:rsidRPr="00054EE2">
        <w:rPr>
          <w:rFonts w:ascii="Arial" w:hAnsi="Arial" w:cs="Arial"/>
        </w:rPr>
        <w:t>Obligaciones de comunicación sobre la financiación europea de las medidas incluidas en el PRTR.</w:t>
      </w:r>
    </w:p>
    <w:p w14:paraId="3D3942CF" w14:textId="77777777" w:rsidR="00054EE2" w:rsidRDefault="00054EE2" w:rsidP="001369AF">
      <w:pPr>
        <w:pStyle w:val="Default"/>
        <w:spacing w:line="276" w:lineRule="auto"/>
        <w:jc w:val="both"/>
        <w:rPr>
          <w:b/>
          <w:sz w:val="22"/>
          <w:szCs w:val="22"/>
        </w:rPr>
      </w:pPr>
    </w:p>
    <w:p w14:paraId="4A0C07A5" w14:textId="77777777" w:rsidR="00054EE2" w:rsidRDefault="00054EE2" w:rsidP="001369AF">
      <w:pPr>
        <w:pStyle w:val="Default"/>
        <w:spacing w:line="276" w:lineRule="auto"/>
        <w:jc w:val="both"/>
        <w:rPr>
          <w:b/>
          <w:sz w:val="22"/>
          <w:szCs w:val="22"/>
        </w:rPr>
      </w:pPr>
    </w:p>
    <w:p w14:paraId="55C31DDC" w14:textId="108AEEEA" w:rsidR="001369AF" w:rsidRPr="00B30385" w:rsidRDefault="00824088" w:rsidP="001369AF">
      <w:pPr>
        <w:pStyle w:val="Default"/>
        <w:spacing w:line="276" w:lineRule="auto"/>
        <w:jc w:val="both"/>
        <w:rPr>
          <w:sz w:val="22"/>
          <w:szCs w:val="22"/>
        </w:rPr>
      </w:pPr>
      <w:r w:rsidRPr="00B30385">
        <w:rPr>
          <w:b/>
          <w:sz w:val="22"/>
          <w:szCs w:val="22"/>
        </w:rPr>
        <w:t>Consecuencias de los posibles incumplimientos por pa</w:t>
      </w:r>
      <w:r w:rsidR="001369AF" w:rsidRPr="00B30385">
        <w:rPr>
          <w:b/>
          <w:sz w:val="22"/>
          <w:szCs w:val="22"/>
        </w:rPr>
        <w:t xml:space="preserve">rte de las comunidades autónomas: </w:t>
      </w:r>
      <w:r w:rsidR="001369AF" w:rsidRPr="00B30385">
        <w:rPr>
          <w:sz w:val="22"/>
          <w:szCs w:val="22"/>
        </w:rPr>
        <w:t xml:space="preserve">de acuerdo al artículo 7. Séptima de la Ley </w:t>
      </w:r>
      <w:r w:rsidR="00D3760C">
        <w:rPr>
          <w:sz w:val="22"/>
          <w:szCs w:val="22"/>
        </w:rPr>
        <w:t>31</w:t>
      </w:r>
      <w:r w:rsidR="001369AF" w:rsidRPr="00B30385">
        <w:rPr>
          <w:sz w:val="22"/>
          <w:szCs w:val="22"/>
        </w:rPr>
        <w:t>/</w:t>
      </w:r>
      <w:r w:rsidR="00D3760C" w:rsidRPr="00B30385">
        <w:rPr>
          <w:sz w:val="22"/>
          <w:szCs w:val="22"/>
        </w:rPr>
        <w:t>202</w:t>
      </w:r>
      <w:r w:rsidR="00D3760C">
        <w:rPr>
          <w:sz w:val="22"/>
          <w:szCs w:val="22"/>
        </w:rPr>
        <w:t>2</w:t>
      </w:r>
      <w:r w:rsidR="001369AF" w:rsidRPr="00B30385">
        <w:rPr>
          <w:sz w:val="22"/>
          <w:szCs w:val="22"/>
        </w:rPr>
        <w:t xml:space="preserve">, de </w:t>
      </w:r>
      <w:r w:rsidR="00D3760C">
        <w:rPr>
          <w:sz w:val="22"/>
          <w:szCs w:val="22"/>
        </w:rPr>
        <w:t xml:space="preserve">23 </w:t>
      </w:r>
      <w:r w:rsidR="001369AF" w:rsidRPr="00B30385">
        <w:rPr>
          <w:sz w:val="22"/>
          <w:szCs w:val="22"/>
        </w:rPr>
        <w:t xml:space="preserve">de diciembre, de Presupuestos Generales del Estado para el año </w:t>
      </w:r>
      <w:r w:rsidR="00D3760C" w:rsidRPr="00B30385">
        <w:rPr>
          <w:sz w:val="22"/>
          <w:szCs w:val="22"/>
        </w:rPr>
        <w:t>202</w:t>
      </w:r>
      <w:r w:rsidR="00D3760C">
        <w:rPr>
          <w:sz w:val="22"/>
          <w:szCs w:val="22"/>
        </w:rPr>
        <w:t>3</w:t>
      </w:r>
      <w:r w:rsidR="001369AF" w:rsidRPr="00B30385">
        <w:rPr>
          <w:sz w:val="22"/>
          <w:szCs w:val="22"/>
        </w:rPr>
        <w:t xml:space="preserve">, y los artículos 37 y 46 del Real Decreto-ley 36/2020, de 30 de diciembre, por el que se aprueban medidas urgentes para la modernización de la Administración Pública y para la ejecución del Plan de Recuperación, Transformación y Resiliencia. los ingresos por transferencias recibidas de la Administración General del Estado, procedentes del Mecanismo para la Recuperación y Resiliencia y del REACT-EU, están legalmente afectados a financiar los proyectos o líneas de acción que se integren dentro del Plan de Recuperación, Transformación y Resiliencia, con el grado de detalle especificado en el mismo. </w:t>
      </w:r>
    </w:p>
    <w:p w14:paraId="4C6EDFF1" w14:textId="77777777" w:rsidR="001369AF" w:rsidRPr="00B30385" w:rsidRDefault="001369AF" w:rsidP="00D227DF">
      <w:pPr>
        <w:pStyle w:val="Default"/>
        <w:spacing w:line="276" w:lineRule="auto"/>
        <w:jc w:val="both"/>
        <w:rPr>
          <w:sz w:val="22"/>
          <w:szCs w:val="22"/>
        </w:rPr>
      </w:pPr>
      <w:r w:rsidRPr="00B30385">
        <w:rPr>
          <w:sz w:val="22"/>
          <w:szCs w:val="22"/>
        </w:rPr>
        <w:t>En caso de no realizarse el gasto o en caso de incumplimiento total o parcial de los objetivos previstos, las citadas entidades deberán reintegrar los fondos recibidos al Tesoro Público. En particular, podrá ser causa de reintegro cuando el incumplimiento de los hitos impida el retorno de fondos europeos al Tesoro en el supuesto que no se pueda garantizar el cumplimiento de los objetivos globales comprometidos para el componente 14 del Plan de Recuperación, Transformación y Resiliencia.</w:t>
      </w:r>
    </w:p>
    <w:p w14:paraId="62BE86C7" w14:textId="77777777" w:rsidR="001369AF" w:rsidRPr="00B30385" w:rsidRDefault="001369AF" w:rsidP="00D227DF">
      <w:pPr>
        <w:pStyle w:val="Default"/>
        <w:spacing w:line="276" w:lineRule="auto"/>
        <w:jc w:val="both"/>
        <w:rPr>
          <w:sz w:val="22"/>
          <w:szCs w:val="22"/>
        </w:rPr>
      </w:pPr>
    </w:p>
    <w:p w14:paraId="2B343C1F" w14:textId="0D75294F" w:rsidR="00824088" w:rsidRPr="00B30385" w:rsidRDefault="00824088" w:rsidP="00D227DF">
      <w:pPr>
        <w:pStyle w:val="Default"/>
        <w:spacing w:line="276" w:lineRule="auto"/>
        <w:jc w:val="both"/>
        <w:rPr>
          <w:sz w:val="22"/>
          <w:szCs w:val="22"/>
        </w:rPr>
      </w:pPr>
      <w:r w:rsidRPr="00B30385">
        <w:rPr>
          <w:sz w:val="22"/>
          <w:szCs w:val="22"/>
        </w:rPr>
        <w:t>Conllevará la devolución total o parcial de la ayuda adjudicada:</w:t>
      </w:r>
    </w:p>
    <w:p w14:paraId="0DF32F88" w14:textId="3925FA58" w:rsidR="00824088" w:rsidRPr="00B30385" w:rsidRDefault="00824088" w:rsidP="00D227DF">
      <w:pPr>
        <w:pStyle w:val="Default"/>
        <w:numPr>
          <w:ilvl w:val="0"/>
          <w:numId w:val="16"/>
        </w:numPr>
        <w:spacing w:line="276" w:lineRule="auto"/>
        <w:jc w:val="both"/>
        <w:rPr>
          <w:sz w:val="22"/>
          <w:szCs w:val="22"/>
        </w:rPr>
      </w:pPr>
      <w:r w:rsidRPr="00B30385">
        <w:rPr>
          <w:sz w:val="22"/>
          <w:szCs w:val="22"/>
        </w:rPr>
        <w:t xml:space="preserve">No lograr, en todo o en parte, los </w:t>
      </w:r>
      <w:r w:rsidR="008162EE" w:rsidRPr="00B30385">
        <w:rPr>
          <w:sz w:val="22"/>
          <w:szCs w:val="22"/>
        </w:rPr>
        <w:t xml:space="preserve">hitos u </w:t>
      </w:r>
      <w:r w:rsidRPr="00B30385">
        <w:rPr>
          <w:sz w:val="22"/>
          <w:szCs w:val="22"/>
        </w:rPr>
        <w:t>objetivos previstos: reintegro al menos cuando el incumplimiento impida el retorno de fondos europeos al Tesoro y en el importe del retorno no percibido en relación con las medidas de la responsabilidad de la comunidad autónoma.</w:t>
      </w:r>
    </w:p>
    <w:p w14:paraId="457325B6" w14:textId="77777777" w:rsidR="00824088" w:rsidRPr="00B30385" w:rsidRDefault="00824088" w:rsidP="00D227DF">
      <w:pPr>
        <w:pStyle w:val="Default"/>
        <w:numPr>
          <w:ilvl w:val="0"/>
          <w:numId w:val="16"/>
        </w:numPr>
        <w:spacing w:line="276" w:lineRule="auto"/>
        <w:jc w:val="both"/>
        <w:rPr>
          <w:sz w:val="22"/>
          <w:szCs w:val="22"/>
        </w:rPr>
      </w:pPr>
      <w:r w:rsidRPr="00B30385">
        <w:rPr>
          <w:sz w:val="22"/>
          <w:szCs w:val="22"/>
        </w:rPr>
        <w:t>Que no pueda acreditarse el logro de los objetivos por falta de fiabilidad de los indicadores reportados: reintegro al menos cuando el incumplimiento impida el retorno de fondos europeos al Tesoro y en el importe del retorno no percibido en relación con las medidas de la responsabilidad de la comunidad autónoma.</w:t>
      </w:r>
    </w:p>
    <w:p w14:paraId="6D7A7E85" w14:textId="77777777" w:rsidR="00824088" w:rsidRPr="00B30385" w:rsidRDefault="00824088" w:rsidP="00D227DF">
      <w:pPr>
        <w:pStyle w:val="Default"/>
        <w:numPr>
          <w:ilvl w:val="0"/>
          <w:numId w:val="16"/>
        </w:numPr>
        <w:spacing w:line="276" w:lineRule="auto"/>
        <w:jc w:val="both"/>
        <w:rPr>
          <w:sz w:val="22"/>
          <w:szCs w:val="22"/>
        </w:rPr>
      </w:pPr>
      <w:r w:rsidRPr="00B30385">
        <w:rPr>
          <w:sz w:val="22"/>
          <w:szCs w:val="22"/>
        </w:rPr>
        <w:t>Cualquier irregularidad que afecte a medidas bajo su responsabilidad determinada en cualquier control desarrollado por autoridades nacionales o comunitarias que recaiga sobre aquellas y que impida el retorno de fondos al Tesoro: reintegro del importe del retorno no percibido en relación con las medidas de la responsabilidad de la comunidad autónoma.</w:t>
      </w:r>
    </w:p>
    <w:p w14:paraId="0F54B87E" w14:textId="77777777" w:rsidR="00824088" w:rsidRPr="00B30385" w:rsidRDefault="00824088" w:rsidP="00D227DF">
      <w:pPr>
        <w:pStyle w:val="Default"/>
        <w:numPr>
          <w:ilvl w:val="0"/>
          <w:numId w:val="16"/>
        </w:numPr>
        <w:spacing w:line="276" w:lineRule="auto"/>
        <w:jc w:val="both"/>
        <w:rPr>
          <w:sz w:val="22"/>
          <w:szCs w:val="22"/>
        </w:rPr>
      </w:pPr>
      <w:r w:rsidRPr="00B30385">
        <w:rPr>
          <w:sz w:val="22"/>
          <w:szCs w:val="22"/>
        </w:rPr>
        <w:t xml:space="preserve">No utilización de las cantidades recibidas para las medidas para las que se transfirieron: reintegro de fondos al Estado por el importe indebidamente utilizado. </w:t>
      </w:r>
    </w:p>
    <w:p w14:paraId="40367D22" w14:textId="77777777" w:rsidR="00824088" w:rsidRPr="00B30385" w:rsidRDefault="00824088" w:rsidP="00D227DF">
      <w:pPr>
        <w:spacing w:line="276" w:lineRule="auto"/>
        <w:jc w:val="both"/>
        <w:rPr>
          <w:rFonts w:ascii="Arial" w:eastAsiaTheme="minorHAnsi" w:hAnsi="Arial" w:cs="Arial"/>
          <w:b/>
          <w:bCs/>
          <w:sz w:val="22"/>
          <w:szCs w:val="22"/>
        </w:rPr>
      </w:pPr>
    </w:p>
    <w:p w14:paraId="056B6682" w14:textId="77777777" w:rsidR="00D227DF" w:rsidRPr="00B30385" w:rsidRDefault="00D227DF" w:rsidP="00D227DF">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El Programa Extraordinario de Sostenibilidad Turística en Destinos 2021-2023 es un mecanismo acordado entre el Gobierno de España y la Comisión Europea. Este acuerdo lleva asociados compromisos nacionales de ejecución anual estrictos que han sido exigidos por la Comisión Europea y negociados por el Gobierno, así como requisitos para la aplicación de los fondos vinculados al etiquetado verde y digital, al principio de «no causar un perjuicio significativo», al régimen de ayudas de estado y a las disposiciones del Reglamento (UE) 2021/241 del Parlamento Europeo y del Consejo de 12 de febrero de 2021 por el que se establece el Mecanismo de Recuperación y Resiliencia y el resto de normativa aplicable. Estos compromisos están recogidos en los instrumentos ya aprobados por las instituciones europeas y el Gobierno de España. El cumplimiento de estos compromisos es obligatorio, de forma que su incumplimiento puede conllevar la retirada de la financiación por parte de la Comisión Europea y la cancelación del programa.</w:t>
      </w:r>
    </w:p>
    <w:p w14:paraId="044844F3" w14:textId="77777777" w:rsidR="00D227DF" w:rsidRPr="00B30385" w:rsidRDefault="00D227DF" w:rsidP="00D227DF">
      <w:pPr>
        <w:spacing w:line="276" w:lineRule="auto"/>
        <w:jc w:val="both"/>
        <w:rPr>
          <w:rFonts w:ascii="Arial" w:eastAsiaTheme="minorHAnsi" w:hAnsi="Arial" w:cs="Arial"/>
          <w:bCs/>
          <w:sz w:val="22"/>
          <w:szCs w:val="22"/>
          <w:lang w:val="es-ES" w:eastAsia="en-US"/>
        </w:rPr>
      </w:pPr>
    </w:p>
    <w:p w14:paraId="36E31EE7" w14:textId="5E73D729" w:rsidR="00824088" w:rsidRPr="00B30385" w:rsidRDefault="00D227DF" w:rsidP="00D227DF">
      <w:pPr>
        <w:spacing w:line="276" w:lineRule="auto"/>
        <w:jc w:val="both"/>
        <w:rPr>
          <w:rFonts w:ascii="Arial" w:eastAsiaTheme="minorHAnsi" w:hAnsi="Arial" w:cs="Arial"/>
          <w:bCs/>
          <w:sz w:val="22"/>
          <w:szCs w:val="22"/>
          <w:lang w:val="es-ES" w:eastAsia="en-US"/>
        </w:rPr>
      </w:pPr>
      <w:r w:rsidRPr="00B30385">
        <w:rPr>
          <w:rFonts w:ascii="Arial" w:eastAsiaTheme="minorHAnsi" w:hAnsi="Arial" w:cs="Arial"/>
          <w:bCs/>
          <w:sz w:val="22"/>
          <w:szCs w:val="22"/>
          <w:lang w:val="es-ES" w:eastAsia="en-US"/>
        </w:rPr>
        <w:t>Derivado de la obligatoriedad de cumplir los compromisos de ejecución anual de los Planes de</w:t>
      </w:r>
      <w:r w:rsidR="00054EE2">
        <w:rPr>
          <w:rFonts w:ascii="Arial" w:eastAsiaTheme="minorHAnsi" w:hAnsi="Arial" w:cs="Arial"/>
          <w:bCs/>
          <w:sz w:val="22"/>
          <w:szCs w:val="22"/>
          <w:lang w:val="es-ES" w:eastAsia="en-US"/>
        </w:rPr>
        <w:t xml:space="preserve"> </w:t>
      </w:r>
      <w:r w:rsidRPr="00B30385">
        <w:rPr>
          <w:rFonts w:ascii="Arial" w:eastAsiaTheme="minorHAnsi" w:hAnsi="Arial" w:cs="Arial"/>
          <w:bCs/>
          <w:sz w:val="22"/>
          <w:szCs w:val="22"/>
          <w:lang w:val="es-ES" w:eastAsia="en-US"/>
        </w:rPr>
        <w:t>Sostenibilidad Turística en Destino y Actuaciones de Cohesión entre Destinos, se reconoce que el cumplimiento de los plazos establecidos en el establecimiento anual de los Plan Territorial es</w:t>
      </w:r>
      <w:r w:rsidR="00054EE2">
        <w:rPr>
          <w:rFonts w:ascii="Arial" w:eastAsiaTheme="minorHAnsi" w:hAnsi="Arial" w:cs="Arial"/>
          <w:bCs/>
          <w:sz w:val="22"/>
          <w:szCs w:val="22"/>
          <w:lang w:val="es-ES" w:eastAsia="en-US"/>
        </w:rPr>
        <w:t xml:space="preserve"> </w:t>
      </w:r>
      <w:r w:rsidRPr="00B30385">
        <w:rPr>
          <w:rFonts w:ascii="Arial" w:eastAsiaTheme="minorHAnsi" w:hAnsi="Arial" w:cs="Arial"/>
          <w:bCs/>
          <w:sz w:val="22"/>
          <w:szCs w:val="22"/>
          <w:lang w:val="es-ES" w:eastAsia="en-US"/>
        </w:rPr>
        <w:t xml:space="preserve">inexcusable. En caso de retraso por parte de alguna </w:t>
      </w:r>
      <w:r w:rsidR="002F5043" w:rsidRPr="00B30385">
        <w:rPr>
          <w:rFonts w:ascii="Arial" w:eastAsiaTheme="minorHAnsi" w:hAnsi="Arial" w:cs="Arial"/>
          <w:bCs/>
          <w:sz w:val="22"/>
          <w:szCs w:val="22"/>
          <w:lang w:val="es-ES" w:eastAsia="en-US"/>
        </w:rPr>
        <w:t>comunidad autónoma</w:t>
      </w:r>
      <w:r w:rsidRPr="00B30385">
        <w:rPr>
          <w:rFonts w:ascii="Arial" w:eastAsiaTheme="minorHAnsi" w:hAnsi="Arial" w:cs="Arial"/>
          <w:bCs/>
          <w:sz w:val="22"/>
          <w:szCs w:val="22"/>
          <w:lang w:val="es-ES" w:eastAsia="en-US"/>
        </w:rPr>
        <w:t xml:space="preserve">, la Secretaría de Estado de Turismo podrá tomar medidas extraordinarias como la reasignación de partidas de inversión entre </w:t>
      </w:r>
      <w:r w:rsidR="002F5043" w:rsidRPr="00B30385">
        <w:rPr>
          <w:rFonts w:ascii="Arial" w:eastAsiaTheme="minorHAnsi" w:hAnsi="Arial" w:cs="Arial"/>
          <w:bCs/>
          <w:sz w:val="22"/>
          <w:szCs w:val="22"/>
          <w:lang w:val="es-ES" w:eastAsia="en-US"/>
        </w:rPr>
        <w:t>comunidades autónomas</w:t>
      </w:r>
      <w:r w:rsidRPr="00B30385">
        <w:rPr>
          <w:rFonts w:ascii="Arial" w:eastAsiaTheme="minorHAnsi" w:hAnsi="Arial" w:cs="Arial"/>
          <w:bCs/>
          <w:sz w:val="22"/>
          <w:szCs w:val="22"/>
          <w:lang w:val="es-ES" w:eastAsia="en-US"/>
        </w:rPr>
        <w:t xml:space="preserve"> o dentro de la comunidad autónoma de forma que se eviten penalizaciones a nivel nacional. Se comunicará previamente a las </w:t>
      </w:r>
      <w:r w:rsidR="002F5043" w:rsidRPr="00B30385">
        <w:rPr>
          <w:rFonts w:ascii="Arial" w:eastAsiaTheme="minorHAnsi" w:hAnsi="Arial" w:cs="Arial"/>
          <w:bCs/>
          <w:sz w:val="22"/>
          <w:szCs w:val="22"/>
          <w:lang w:val="es-ES" w:eastAsia="en-US"/>
        </w:rPr>
        <w:t>comunidades autónomas</w:t>
      </w:r>
      <w:r w:rsidRPr="00B30385">
        <w:rPr>
          <w:rFonts w:ascii="Arial" w:eastAsiaTheme="minorHAnsi" w:hAnsi="Arial" w:cs="Arial"/>
          <w:bCs/>
          <w:sz w:val="22"/>
          <w:szCs w:val="22"/>
          <w:lang w:val="es-ES" w:eastAsia="en-US"/>
        </w:rPr>
        <w:t xml:space="preserve"> afectadas.</w:t>
      </w:r>
    </w:p>
    <w:p w14:paraId="35F60E63" w14:textId="54049241" w:rsidR="00083C96" w:rsidRPr="00B30385" w:rsidRDefault="00083C96" w:rsidP="00D227DF">
      <w:pPr>
        <w:spacing w:line="276" w:lineRule="auto"/>
        <w:jc w:val="both"/>
        <w:rPr>
          <w:rFonts w:ascii="Arial" w:eastAsiaTheme="minorHAnsi" w:hAnsi="Arial" w:cs="Arial"/>
          <w:b/>
          <w:bCs/>
          <w:sz w:val="22"/>
          <w:szCs w:val="22"/>
        </w:rPr>
      </w:pPr>
    </w:p>
    <w:sectPr w:rsidR="00083C96" w:rsidRPr="00B30385" w:rsidSect="00C50FF0">
      <w:headerReference w:type="default" r:id="rId8"/>
      <w:footerReference w:type="default" r:id="rId9"/>
      <w:pgSz w:w="11906" w:h="16838"/>
      <w:pgMar w:top="1417" w:right="1701" w:bottom="142"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7DA5B" w14:textId="77777777" w:rsidR="004376A5" w:rsidRDefault="004376A5" w:rsidP="00965D83">
      <w:r>
        <w:separator/>
      </w:r>
    </w:p>
  </w:endnote>
  <w:endnote w:type="continuationSeparator" w:id="0">
    <w:p w14:paraId="31ADD51A" w14:textId="77777777" w:rsidR="004376A5" w:rsidRDefault="004376A5" w:rsidP="0096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2852" w14:textId="4B34BF20" w:rsidR="004376A5" w:rsidRDefault="004376A5">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7B47E3">
      <w:rPr>
        <w:caps/>
        <w:noProof/>
        <w:color w:val="4F81BD" w:themeColor="accent1"/>
      </w:rPr>
      <w:t>14</w:t>
    </w:r>
    <w:r>
      <w:rPr>
        <w:caps/>
        <w:color w:val="4F81BD" w:themeColor="accent1"/>
      </w:rPr>
      <w:fldChar w:fldCharType="end"/>
    </w:r>
  </w:p>
  <w:p w14:paraId="3A3C8005" w14:textId="77777777" w:rsidR="004376A5" w:rsidRPr="00445712" w:rsidRDefault="004376A5" w:rsidP="00445712">
    <w:pPr>
      <w:pStyle w:val="Piedepgina"/>
      <w:ind w:left="-851"/>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348B2" w14:textId="77777777" w:rsidR="004376A5" w:rsidRDefault="004376A5" w:rsidP="00965D83">
      <w:r>
        <w:separator/>
      </w:r>
    </w:p>
  </w:footnote>
  <w:footnote w:type="continuationSeparator" w:id="0">
    <w:p w14:paraId="310ABF0D" w14:textId="77777777" w:rsidR="004376A5" w:rsidRDefault="004376A5" w:rsidP="0096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53" w:type="dxa"/>
      <w:tblInd w:w="-923" w:type="dxa"/>
      <w:tblLayout w:type="fixed"/>
      <w:tblCellMar>
        <w:left w:w="70" w:type="dxa"/>
        <w:right w:w="70" w:type="dxa"/>
      </w:tblCellMar>
      <w:tblLook w:val="0000" w:firstRow="0" w:lastRow="0" w:firstColumn="0" w:lastColumn="0" w:noHBand="0" w:noVBand="0"/>
    </w:tblPr>
    <w:tblGrid>
      <w:gridCol w:w="214"/>
      <w:gridCol w:w="3544"/>
      <w:gridCol w:w="4395"/>
    </w:tblGrid>
    <w:tr w:rsidR="004376A5" w:rsidRPr="00965D83" w14:paraId="13C65822" w14:textId="77777777" w:rsidTr="00B4335D">
      <w:trPr>
        <w:gridAfter w:val="1"/>
        <w:wAfter w:w="4395" w:type="dxa"/>
        <w:cantSplit/>
        <w:trHeight w:val="598"/>
      </w:trPr>
      <w:tc>
        <w:tcPr>
          <w:tcW w:w="214" w:type="dxa"/>
          <w:vMerge w:val="restart"/>
        </w:tcPr>
        <w:p w14:paraId="527B1951" w14:textId="77777777" w:rsidR="004376A5" w:rsidRDefault="004376A5" w:rsidP="00965D83">
          <w:pPr>
            <w:tabs>
              <w:tab w:val="center" w:pos="4252"/>
              <w:tab w:val="right" w:pos="8504"/>
            </w:tabs>
            <w:rPr>
              <w:b/>
              <w:noProof/>
              <w:lang w:val="es-ES"/>
            </w:rPr>
          </w:pPr>
        </w:p>
      </w:tc>
      <w:tc>
        <w:tcPr>
          <w:tcW w:w="3544" w:type="dxa"/>
          <w:vMerge w:val="restart"/>
        </w:tcPr>
        <w:p w14:paraId="5787218D" w14:textId="77777777" w:rsidR="004376A5" w:rsidRPr="00965D83" w:rsidRDefault="004376A5" w:rsidP="00965D83">
          <w:pPr>
            <w:tabs>
              <w:tab w:val="center" w:pos="4252"/>
              <w:tab w:val="right" w:pos="8504"/>
            </w:tabs>
            <w:rPr>
              <w:sz w:val="16"/>
            </w:rPr>
          </w:pPr>
          <w:r>
            <w:rPr>
              <w:b/>
              <w:noProof/>
              <w:lang w:val="es-ES"/>
            </w:rPr>
            <w:drawing>
              <wp:anchor distT="0" distB="0" distL="114300" distR="114300" simplePos="0" relativeHeight="251675136" behindDoc="0" locked="0" layoutInCell="1" allowOverlap="1" wp14:anchorId="5FE30E02" wp14:editId="249D50E0">
                <wp:simplePos x="0" y="0"/>
                <wp:positionH relativeFrom="column">
                  <wp:posOffset>-204470</wp:posOffset>
                </wp:positionH>
                <wp:positionV relativeFrom="paragraph">
                  <wp:posOffset>-68580</wp:posOffset>
                </wp:positionV>
                <wp:extent cx="676275" cy="714375"/>
                <wp:effectExtent l="0" t="0" r="9525" b="9525"/>
                <wp:wrapSquare wrapText="bothSides"/>
                <wp:docPr id="9" name="Imagen 9" descr="Escudo%20es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20esp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EF1FD" w14:textId="77777777" w:rsidR="004376A5" w:rsidRPr="00965D83" w:rsidRDefault="004376A5" w:rsidP="00965D83">
          <w:pPr>
            <w:tabs>
              <w:tab w:val="center" w:pos="4252"/>
              <w:tab w:val="right" w:pos="8504"/>
            </w:tabs>
            <w:rPr>
              <w:sz w:val="16"/>
            </w:rPr>
          </w:pPr>
        </w:p>
        <w:p w14:paraId="1C3679F6" w14:textId="77777777" w:rsidR="004376A5" w:rsidRPr="00965D83" w:rsidRDefault="004376A5" w:rsidP="00965D83">
          <w:pPr>
            <w:tabs>
              <w:tab w:val="center" w:pos="4252"/>
              <w:tab w:val="right" w:pos="8504"/>
            </w:tabs>
            <w:rPr>
              <w:sz w:val="16"/>
            </w:rPr>
          </w:pPr>
          <w:r>
            <w:rPr>
              <w:sz w:val="16"/>
            </w:rPr>
            <w:t>MINISTERIO</w:t>
          </w:r>
        </w:p>
        <w:p w14:paraId="70F1A05D" w14:textId="77777777" w:rsidR="004376A5" w:rsidRDefault="004376A5" w:rsidP="00BE2953">
          <w:pPr>
            <w:tabs>
              <w:tab w:val="center" w:pos="4252"/>
              <w:tab w:val="right" w:pos="8504"/>
            </w:tabs>
            <w:rPr>
              <w:sz w:val="16"/>
            </w:rPr>
          </w:pPr>
          <w:r w:rsidRPr="00965D83">
            <w:rPr>
              <w:sz w:val="16"/>
            </w:rPr>
            <w:t xml:space="preserve">DE </w:t>
          </w:r>
          <w:r>
            <w:rPr>
              <w:sz w:val="16"/>
            </w:rPr>
            <w:t>INDUSTRIA, COMERCIO</w:t>
          </w:r>
        </w:p>
        <w:p w14:paraId="00A2135D" w14:textId="77777777" w:rsidR="004376A5" w:rsidRDefault="004376A5" w:rsidP="00BE2953">
          <w:pPr>
            <w:tabs>
              <w:tab w:val="center" w:pos="4252"/>
              <w:tab w:val="right" w:pos="8504"/>
            </w:tabs>
            <w:rPr>
              <w:sz w:val="16"/>
            </w:rPr>
          </w:pPr>
          <w:r>
            <w:rPr>
              <w:sz w:val="16"/>
            </w:rPr>
            <w:t>Y TURISMO</w:t>
          </w:r>
        </w:p>
        <w:p w14:paraId="64CD88C3" w14:textId="77777777" w:rsidR="004376A5" w:rsidRPr="00965D83" w:rsidRDefault="004376A5" w:rsidP="00BE2953">
          <w:pPr>
            <w:tabs>
              <w:tab w:val="center" w:pos="4252"/>
              <w:tab w:val="right" w:pos="8504"/>
            </w:tabs>
            <w:rPr>
              <w:sz w:val="16"/>
            </w:rPr>
          </w:pPr>
        </w:p>
      </w:tc>
    </w:tr>
    <w:tr w:rsidR="004376A5" w:rsidRPr="00965D83" w14:paraId="6A72D2E5" w14:textId="77777777" w:rsidTr="00B4335D">
      <w:trPr>
        <w:cantSplit/>
        <w:trHeight w:val="598"/>
      </w:trPr>
      <w:tc>
        <w:tcPr>
          <w:tcW w:w="214" w:type="dxa"/>
          <w:vMerge/>
        </w:tcPr>
        <w:p w14:paraId="3B2FCF11" w14:textId="77777777" w:rsidR="004376A5" w:rsidRPr="00965D83" w:rsidRDefault="004376A5" w:rsidP="00965D83">
          <w:pPr>
            <w:tabs>
              <w:tab w:val="center" w:pos="4252"/>
              <w:tab w:val="right" w:pos="8504"/>
            </w:tabs>
            <w:rPr>
              <w:sz w:val="16"/>
            </w:rPr>
          </w:pPr>
        </w:p>
      </w:tc>
      <w:tc>
        <w:tcPr>
          <w:tcW w:w="3544" w:type="dxa"/>
          <w:vMerge/>
        </w:tcPr>
        <w:p w14:paraId="34279A4A" w14:textId="77777777" w:rsidR="004376A5" w:rsidRPr="00965D83" w:rsidRDefault="004376A5" w:rsidP="00965D83">
          <w:pPr>
            <w:tabs>
              <w:tab w:val="center" w:pos="4252"/>
              <w:tab w:val="right" w:pos="8504"/>
            </w:tabs>
            <w:rPr>
              <w:sz w:val="16"/>
            </w:rPr>
          </w:pPr>
        </w:p>
      </w:tc>
      <w:tc>
        <w:tcPr>
          <w:tcW w:w="4395" w:type="dxa"/>
        </w:tcPr>
        <w:p w14:paraId="166CE3FB" w14:textId="77777777" w:rsidR="004376A5" w:rsidRPr="00965D83" w:rsidRDefault="004376A5" w:rsidP="00965D83">
          <w:pPr>
            <w:tabs>
              <w:tab w:val="center" w:pos="4252"/>
              <w:tab w:val="right" w:pos="8504"/>
            </w:tabs>
            <w:spacing w:line="160" w:lineRule="exact"/>
            <w:jc w:val="both"/>
            <w:rPr>
              <w:i/>
              <w:sz w:val="14"/>
            </w:rPr>
          </w:pPr>
        </w:p>
      </w:tc>
    </w:tr>
  </w:tbl>
  <w:p w14:paraId="52119CAB" w14:textId="470BF474" w:rsidR="004376A5" w:rsidRDefault="004376A5" w:rsidP="00965D83">
    <w:pPr>
      <w:pStyle w:val="Encabezado"/>
      <w:ind w:left="-709"/>
    </w:pPr>
    <w:r>
      <w:rPr>
        <w:noProof/>
        <w:lang w:eastAsia="es-ES"/>
      </w:rPr>
      <w:drawing>
        <wp:anchor distT="0" distB="0" distL="114300" distR="114300" simplePos="0" relativeHeight="251673088" behindDoc="0" locked="0" layoutInCell="1" allowOverlap="0" wp14:anchorId="4234554D" wp14:editId="6CB94017">
          <wp:simplePos x="0" y="0"/>
          <wp:positionH relativeFrom="column">
            <wp:posOffset>4508673</wp:posOffset>
          </wp:positionH>
          <wp:positionV relativeFrom="paragraph">
            <wp:posOffset>-817880</wp:posOffset>
          </wp:positionV>
          <wp:extent cx="1425575" cy="865505"/>
          <wp:effectExtent l="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25575" cy="86550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3BC3"/>
    <w:multiLevelType w:val="hybridMultilevel"/>
    <w:tmpl w:val="C8002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42432E"/>
    <w:multiLevelType w:val="hybridMultilevel"/>
    <w:tmpl w:val="6C02DF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2D10128"/>
    <w:multiLevelType w:val="hybridMultilevel"/>
    <w:tmpl w:val="C25CF4BC"/>
    <w:lvl w:ilvl="0" w:tplc="8B0CC2CC">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4A2C65"/>
    <w:multiLevelType w:val="hybridMultilevel"/>
    <w:tmpl w:val="0DE6B0EA"/>
    <w:lvl w:ilvl="0" w:tplc="5AAA8CA4">
      <w:start w:val="3"/>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69D3F50"/>
    <w:multiLevelType w:val="hybridMultilevel"/>
    <w:tmpl w:val="F7FE4DF4"/>
    <w:lvl w:ilvl="0" w:tplc="8078DFD2">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953446B"/>
    <w:multiLevelType w:val="hybridMultilevel"/>
    <w:tmpl w:val="EDF2F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CE6A15"/>
    <w:multiLevelType w:val="hybridMultilevel"/>
    <w:tmpl w:val="1F78A224"/>
    <w:lvl w:ilvl="0" w:tplc="41F49424">
      <w:start w:val="1"/>
      <w:numFmt w:val="bullet"/>
      <w:lvlText w:val=""/>
      <w:lvlJc w:val="left"/>
      <w:pPr>
        <w:ind w:left="720" w:hanging="360"/>
      </w:pPr>
      <w:rPr>
        <w:rFonts w:ascii="Symbol" w:hAnsi="Symbol" w:hint="default"/>
      </w:rPr>
    </w:lvl>
    <w:lvl w:ilvl="1" w:tplc="C9AA090E">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8D1332"/>
    <w:multiLevelType w:val="hybridMultilevel"/>
    <w:tmpl w:val="3C9C9E0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20022752"/>
    <w:multiLevelType w:val="hybridMultilevel"/>
    <w:tmpl w:val="349822EE"/>
    <w:lvl w:ilvl="0" w:tplc="35844F28">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98E5632"/>
    <w:multiLevelType w:val="hybridMultilevel"/>
    <w:tmpl w:val="FBA6D2A6"/>
    <w:lvl w:ilvl="0" w:tplc="41F494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4134A0"/>
    <w:multiLevelType w:val="hybridMultilevel"/>
    <w:tmpl w:val="5E9AD7A2"/>
    <w:lvl w:ilvl="0" w:tplc="41F4942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2D7E76"/>
    <w:multiLevelType w:val="hybridMultilevel"/>
    <w:tmpl w:val="6352AF0C"/>
    <w:lvl w:ilvl="0" w:tplc="5BB8073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B2AAF"/>
    <w:multiLevelType w:val="hybridMultilevel"/>
    <w:tmpl w:val="8618D2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51FC7FBD"/>
    <w:multiLevelType w:val="hybridMultilevel"/>
    <w:tmpl w:val="A2644FA4"/>
    <w:lvl w:ilvl="0" w:tplc="F176DA08">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4" w15:restartNumberingAfterBreak="0">
    <w:nsid w:val="59D04170"/>
    <w:multiLevelType w:val="hybridMultilevel"/>
    <w:tmpl w:val="F7BA475C"/>
    <w:lvl w:ilvl="0" w:tplc="C7081258">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777122"/>
    <w:multiLevelType w:val="hybridMultilevel"/>
    <w:tmpl w:val="CCD0F64E"/>
    <w:lvl w:ilvl="0" w:tplc="BAB66EB0">
      <w:start w:val="1"/>
      <w:numFmt w:val="decimal"/>
      <w:lvlText w:val="%1."/>
      <w:lvlJc w:val="left"/>
      <w:pPr>
        <w:ind w:left="720" w:hanging="360"/>
      </w:pPr>
      <w:rPr>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DEF72F7"/>
    <w:multiLevelType w:val="multilevel"/>
    <w:tmpl w:val="A47A6AE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b w:val="0"/>
        <w:color w:val="000000" w:themeColor="text1"/>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5EC31BA5"/>
    <w:multiLevelType w:val="hybridMultilevel"/>
    <w:tmpl w:val="44E0A792"/>
    <w:lvl w:ilvl="0" w:tplc="D040B31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8226A4"/>
    <w:multiLevelType w:val="hybridMultilevel"/>
    <w:tmpl w:val="6C02DF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641551B6"/>
    <w:multiLevelType w:val="hybridMultilevel"/>
    <w:tmpl w:val="626A1082"/>
    <w:lvl w:ilvl="0" w:tplc="AD4A99E8">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AE6836"/>
    <w:multiLevelType w:val="hybridMultilevel"/>
    <w:tmpl w:val="6D46A22E"/>
    <w:lvl w:ilvl="0" w:tplc="41F49424">
      <w:start w:val="1"/>
      <w:numFmt w:val="bullet"/>
      <w:lvlText w:val=""/>
      <w:lvlJc w:val="left"/>
      <w:pPr>
        <w:ind w:left="720" w:hanging="360"/>
      </w:pPr>
      <w:rPr>
        <w:rFonts w:ascii="Symbol" w:hAnsi="Symbol" w:hint="default"/>
      </w:rPr>
    </w:lvl>
    <w:lvl w:ilvl="1" w:tplc="41F49424">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7C381E"/>
    <w:multiLevelType w:val="hybridMultilevel"/>
    <w:tmpl w:val="CDAA8FD4"/>
    <w:lvl w:ilvl="0" w:tplc="DBEA3DE4">
      <w:start w:val="1"/>
      <w:numFmt w:val="bullet"/>
      <w:lvlText w:val="-"/>
      <w:lvlJc w:val="left"/>
      <w:pPr>
        <w:ind w:left="786" w:hanging="360"/>
      </w:pPr>
      <w:rPr>
        <w:rFonts w:ascii="Arial" w:eastAsiaTheme="minorHAns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2" w15:restartNumberingAfterBreak="0">
    <w:nsid w:val="6A255AB8"/>
    <w:multiLevelType w:val="hybridMultilevel"/>
    <w:tmpl w:val="EA882914"/>
    <w:lvl w:ilvl="0" w:tplc="8668DB84">
      <w:numFmt w:val="bullet"/>
      <w:lvlText w:val="-"/>
      <w:lvlJc w:val="left"/>
      <w:pPr>
        <w:ind w:left="780" w:hanging="360"/>
      </w:pPr>
      <w:rPr>
        <w:rFonts w:ascii="Arial" w:eastAsiaTheme="minorHAnsi"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15:restartNumberingAfterBreak="0">
    <w:nsid w:val="6CC92949"/>
    <w:multiLevelType w:val="hybridMultilevel"/>
    <w:tmpl w:val="1AD251D4"/>
    <w:lvl w:ilvl="0" w:tplc="469E901C">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0D5E2E"/>
    <w:multiLevelType w:val="hybridMultilevel"/>
    <w:tmpl w:val="99D89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8E4205E"/>
    <w:multiLevelType w:val="hybridMultilevel"/>
    <w:tmpl w:val="6E0C399A"/>
    <w:lvl w:ilvl="0" w:tplc="FBB0550E">
      <w:numFmt w:val="bullet"/>
      <w:lvlText w:val="•"/>
      <w:lvlJc w:val="left"/>
      <w:pPr>
        <w:ind w:left="1062" w:hanging="360"/>
      </w:pPr>
      <w:rPr>
        <w:rFonts w:ascii="Arial" w:eastAsiaTheme="minorHAnsi" w:hAnsi="Arial" w:cs="Arial" w:hint="default"/>
      </w:rPr>
    </w:lvl>
    <w:lvl w:ilvl="1" w:tplc="0C0A0003" w:tentative="1">
      <w:start w:val="1"/>
      <w:numFmt w:val="bullet"/>
      <w:lvlText w:val="o"/>
      <w:lvlJc w:val="left"/>
      <w:pPr>
        <w:ind w:left="1782" w:hanging="360"/>
      </w:pPr>
      <w:rPr>
        <w:rFonts w:ascii="Courier New" w:hAnsi="Courier New" w:cs="Courier New" w:hint="default"/>
      </w:rPr>
    </w:lvl>
    <w:lvl w:ilvl="2" w:tplc="0C0A0005" w:tentative="1">
      <w:start w:val="1"/>
      <w:numFmt w:val="bullet"/>
      <w:lvlText w:val=""/>
      <w:lvlJc w:val="left"/>
      <w:pPr>
        <w:ind w:left="2502" w:hanging="360"/>
      </w:pPr>
      <w:rPr>
        <w:rFonts w:ascii="Wingdings" w:hAnsi="Wingdings" w:hint="default"/>
      </w:rPr>
    </w:lvl>
    <w:lvl w:ilvl="3" w:tplc="0C0A0001" w:tentative="1">
      <w:start w:val="1"/>
      <w:numFmt w:val="bullet"/>
      <w:lvlText w:val=""/>
      <w:lvlJc w:val="left"/>
      <w:pPr>
        <w:ind w:left="3222" w:hanging="360"/>
      </w:pPr>
      <w:rPr>
        <w:rFonts w:ascii="Symbol" w:hAnsi="Symbol" w:hint="default"/>
      </w:rPr>
    </w:lvl>
    <w:lvl w:ilvl="4" w:tplc="0C0A0003" w:tentative="1">
      <w:start w:val="1"/>
      <w:numFmt w:val="bullet"/>
      <w:lvlText w:val="o"/>
      <w:lvlJc w:val="left"/>
      <w:pPr>
        <w:ind w:left="3942" w:hanging="360"/>
      </w:pPr>
      <w:rPr>
        <w:rFonts w:ascii="Courier New" w:hAnsi="Courier New" w:cs="Courier New" w:hint="default"/>
      </w:rPr>
    </w:lvl>
    <w:lvl w:ilvl="5" w:tplc="0C0A0005" w:tentative="1">
      <w:start w:val="1"/>
      <w:numFmt w:val="bullet"/>
      <w:lvlText w:val=""/>
      <w:lvlJc w:val="left"/>
      <w:pPr>
        <w:ind w:left="4662" w:hanging="360"/>
      </w:pPr>
      <w:rPr>
        <w:rFonts w:ascii="Wingdings" w:hAnsi="Wingdings" w:hint="default"/>
      </w:rPr>
    </w:lvl>
    <w:lvl w:ilvl="6" w:tplc="0C0A0001" w:tentative="1">
      <w:start w:val="1"/>
      <w:numFmt w:val="bullet"/>
      <w:lvlText w:val=""/>
      <w:lvlJc w:val="left"/>
      <w:pPr>
        <w:ind w:left="5382" w:hanging="360"/>
      </w:pPr>
      <w:rPr>
        <w:rFonts w:ascii="Symbol" w:hAnsi="Symbol" w:hint="default"/>
      </w:rPr>
    </w:lvl>
    <w:lvl w:ilvl="7" w:tplc="0C0A0003" w:tentative="1">
      <w:start w:val="1"/>
      <w:numFmt w:val="bullet"/>
      <w:lvlText w:val="o"/>
      <w:lvlJc w:val="left"/>
      <w:pPr>
        <w:ind w:left="6102" w:hanging="360"/>
      </w:pPr>
      <w:rPr>
        <w:rFonts w:ascii="Courier New" w:hAnsi="Courier New" w:cs="Courier New" w:hint="default"/>
      </w:rPr>
    </w:lvl>
    <w:lvl w:ilvl="8" w:tplc="0C0A0005" w:tentative="1">
      <w:start w:val="1"/>
      <w:numFmt w:val="bullet"/>
      <w:lvlText w:val=""/>
      <w:lvlJc w:val="left"/>
      <w:pPr>
        <w:ind w:left="6822" w:hanging="360"/>
      </w:pPr>
      <w:rPr>
        <w:rFonts w:ascii="Wingdings" w:hAnsi="Wingdings" w:hint="default"/>
      </w:rPr>
    </w:lvl>
  </w:abstractNum>
  <w:abstractNum w:abstractNumId="26" w15:restartNumberingAfterBreak="0">
    <w:nsid w:val="7A7103FA"/>
    <w:multiLevelType w:val="hybridMultilevel"/>
    <w:tmpl w:val="61B6E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3F5688"/>
    <w:multiLevelType w:val="hybridMultilevel"/>
    <w:tmpl w:val="09C8BFB0"/>
    <w:lvl w:ilvl="0" w:tplc="F2EA94BA">
      <w:start w:val="1"/>
      <w:numFmt w:val="bullet"/>
      <w:lvlText w:val="-"/>
      <w:lvlJc w:val="left"/>
      <w:pPr>
        <w:ind w:left="786" w:hanging="360"/>
      </w:pPr>
      <w:rPr>
        <w:rFonts w:ascii="Arial" w:eastAsiaTheme="minorHAns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5"/>
  </w:num>
  <w:num w:numId="2">
    <w:abstractNumId w:val="13"/>
  </w:num>
  <w:num w:numId="3">
    <w:abstractNumId w:val="4"/>
  </w:num>
  <w:num w:numId="4">
    <w:abstractNumId w:val="3"/>
  </w:num>
  <w:num w:numId="5">
    <w:abstractNumId w:val="0"/>
  </w:num>
  <w:num w:numId="6">
    <w:abstractNumId w:val="17"/>
  </w:num>
  <w:num w:numId="7">
    <w:abstractNumId w:val="24"/>
  </w:num>
  <w:num w:numId="8">
    <w:abstractNumId w:val="2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
  </w:num>
  <w:num w:numId="13">
    <w:abstractNumId w:val="6"/>
  </w:num>
  <w:num w:numId="14">
    <w:abstractNumId w:val="11"/>
  </w:num>
  <w:num w:numId="15">
    <w:abstractNumId w:val="10"/>
  </w:num>
  <w:num w:numId="16">
    <w:abstractNumId w:val="20"/>
  </w:num>
  <w:num w:numId="17">
    <w:abstractNumId w:val="9"/>
  </w:num>
  <w:num w:numId="18">
    <w:abstractNumId w:val="2"/>
  </w:num>
  <w:num w:numId="19">
    <w:abstractNumId w:val="19"/>
  </w:num>
  <w:num w:numId="20">
    <w:abstractNumId w:val="8"/>
  </w:num>
  <w:num w:numId="21">
    <w:abstractNumId w:val="14"/>
  </w:num>
  <w:num w:numId="22">
    <w:abstractNumId w:val="22"/>
  </w:num>
  <w:num w:numId="23">
    <w:abstractNumId w:val="26"/>
  </w:num>
  <w:num w:numId="24">
    <w:abstractNumId w:val="27"/>
  </w:num>
  <w:num w:numId="25">
    <w:abstractNumId w:val="21"/>
  </w:num>
  <w:num w:numId="26">
    <w:abstractNumId w:val="7"/>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92"/>
    <w:rsid w:val="00022596"/>
    <w:rsid w:val="00026962"/>
    <w:rsid w:val="00031DED"/>
    <w:rsid w:val="0005010C"/>
    <w:rsid w:val="000515AA"/>
    <w:rsid w:val="00051943"/>
    <w:rsid w:val="00054BDF"/>
    <w:rsid w:val="00054EE2"/>
    <w:rsid w:val="00064527"/>
    <w:rsid w:val="000647D8"/>
    <w:rsid w:val="00083C96"/>
    <w:rsid w:val="0009165D"/>
    <w:rsid w:val="00092400"/>
    <w:rsid w:val="000A4F8D"/>
    <w:rsid w:val="000D0BAD"/>
    <w:rsid w:val="000D7039"/>
    <w:rsid w:val="000E470F"/>
    <w:rsid w:val="00101A2C"/>
    <w:rsid w:val="00103341"/>
    <w:rsid w:val="00116B7A"/>
    <w:rsid w:val="001318A0"/>
    <w:rsid w:val="001369AF"/>
    <w:rsid w:val="00136B1D"/>
    <w:rsid w:val="00142995"/>
    <w:rsid w:val="0015470D"/>
    <w:rsid w:val="00157C8B"/>
    <w:rsid w:val="001709FB"/>
    <w:rsid w:val="001710E9"/>
    <w:rsid w:val="00175870"/>
    <w:rsid w:val="00182D81"/>
    <w:rsid w:val="001C279A"/>
    <w:rsid w:val="001D0C48"/>
    <w:rsid w:val="001F1509"/>
    <w:rsid w:val="001F4CD7"/>
    <w:rsid w:val="001F61E7"/>
    <w:rsid w:val="001F799A"/>
    <w:rsid w:val="0022079C"/>
    <w:rsid w:val="00235105"/>
    <w:rsid w:val="00237687"/>
    <w:rsid w:val="002403AD"/>
    <w:rsid w:val="002412FC"/>
    <w:rsid w:val="00242202"/>
    <w:rsid w:val="002428CA"/>
    <w:rsid w:val="002437A4"/>
    <w:rsid w:val="00264F4C"/>
    <w:rsid w:val="00277220"/>
    <w:rsid w:val="00285582"/>
    <w:rsid w:val="0029175C"/>
    <w:rsid w:val="00292AFC"/>
    <w:rsid w:val="00294C3C"/>
    <w:rsid w:val="002A41C9"/>
    <w:rsid w:val="002B2207"/>
    <w:rsid w:val="002B6991"/>
    <w:rsid w:val="002B7BE5"/>
    <w:rsid w:val="002D1E10"/>
    <w:rsid w:val="002D244D"/>
    <w:rsid w:val="002F1314"/>
    <w:rsid w:val="002F2F6F"/>
    <w:rsid w:val="002F4262"/>
    <w:rsid w:val="002F5043"/>
    <w:rsid w:val="002F5DB2"/>
    <w:rsid w:val="002F6ABD"/>
    <w:rsid w:val="00300195"/>
    <w:rsid w:val="00326251"/>
    <w:rsid w:val="003279DF"/>
    <w:rsid w:val="003320D5"/>
    <w:rsid w:val="003400EA"/>
    <w:rsid w:val="003556B2"/>
    <w:rsid w:val="00355894"/>
    <w:rsid w:val="003604FF"/>
    <w:rsid w:val="0038051A"/>
    <w:rsid w:val="003A4C30"/>
    <w:rsid w:val="003A5B1B"/>
    <w:rsid w:val="003A7407"/>
    <w:rsid w:val="003B07D2"/>
    <w:rsid w:val="003B3291"/>
    <w:rsid w:val="003C6C45"/>
    <w:rsid w:val="003E2905"/>
    <w:rsid w:val="003E3CE5"/>
    <w:rsid w:val="003F0A53"/>
    <w:rsid w:val="003F5010"/>
    <w:rsid w:val="00411AD1"/>
    <w:rsid w:val="00416682"/>
    <w:rsid w:val="00433A95"/>
    <w:rsid w:val="00435667"/>
    <w:rsid w:val="00436AAE"/>
    <w:rsid w:val="004376A5"/>
    <w:rsid w:val="004444B0"/>
    <w:rsid w:val="00445712"/>
    <w:rsid w:val="00460B98"/>
    <w:rsid w:val="0047364E"/>
    <w:rsid w:val="00473F1C"/>
    <w:rsid w:val="00476DB2"/>
    <w:rsid w:val="004A2C5D"/>
    <w:rsid w:val="004B7B6B"/>
    <w:rsid w:val="004C4019"/>
    <w:rsid w:val="004D451B"/>
    <w:rsid w:val="004E2593"/>
    <w:rsid w:val="004E653F"/>
    <w:rsid w:val="004F2CD2"/>
    <w:rsid w:val="004F7503"/>
    <w:rsid w:val="004F784C"/>
    <w:rsid w:val="00504E9D"/>
    <w:rsid w:val="0051496F"/>
    <w:rsid w:val="00516B8C"/>
    <w:rsid w:val="0052341B"/>
    <w:rsid w:val="00526A66"/>
    <w:rsid w:val="0053350B"/>
    <w:rsid w:val="00536D3C"/>
    <w:rsid w:val="00537C91"/>
    <w:rsid w:val="005402F0"/>
    <w:rsid w:val="00540D1E"/>
    <w:rsid w:val="005519FB"/>
    <w:rsid w:val="00586AAD"/>
    <w:rsid w:val="00591936"/>
    <w:rsid w:val="00596BB3"/>
    <w:rsid w:val="005A0CDA"/>
    <w:rsid w:val="005D4587"/>
    <w:rsid w:val="005D5562"/>
    <w:rsid w:val="005E1EDD"/>
    <w:rsid w:val="005F70B6"/>
    <w:rsid w:val="00605E50"/>
    <w:rsid w:val="00636AA3"/>
    <w:rsid w:val="006426FB"/>
    <w:rsid w:val="006514C6"/>
    <w:rsid w:val="0065625D"/>
    <w:rsid w:val="0067007B"/>
    <w:rsid w:val="006854DA"/>
    <w:rsid w:val="00697614"/>
    <w:rsid w:val="006A212D"/>
    <w:rsid w:val="006A3F19"/>
    <w:rsid w:val="0070033D"/>
    <w:rsid w:val="00717085"/>
    <w:rsid w:val="00724B94"/>
    <w:rsid w:val="00731326"/>
    <w:rsid w:val="007408DB"/>
    <w:rsid w:val="00741516"/>
    <w:rsid w:val="00743951"/>
    <w:rsid w:val="00745CDC"/>
    <w:rsid w:val="00747AC6"/>
    <w:rsid w:val="007557D1"/>
    <w:rsid w:val="0076183B"/>
    <w:rsid w:val="00773E85"/>
    <w:rsid w:val="00793972"/>
    <w:rsid w:val="007B47E3"/>
    <w:rsid w:val="007C25B7"/>
    <w:rsid w:val="007D7DF1"/>
    <w:rsid w:val="007E4FD1"/>
    <w:rsid w:val="007E5D1F"/>
    <w:rsid w:val="007E6D15"/>
    <w:rsid w:val="007F1D94"/>
    <w:rsid w:val="007F1F5A"/>
    <w:rsid w:val="007F3B8A"/>
    <w:rsid w:val="008007EA"/>
    <w:rsid w:val="00800E6E"/>
    <w:rsid w:val="008162EE"/>
    <w:rsid w:val="00824088"/>
    <w:rsid w:val="008750A1"/>
    <w:rsid w:val="0087786B"/>
    <w:rsid w:val="00880287"/>
    <w:rsid w:val="0088052F"/>
    <w:rsid w:val="008914EA"/>
    <w:rsid w:val="008C19E5"/>
    <w:rsid w:val="008D01D7"/>
    <w:rsid w:val="00904F01"/>
    <w:rsid w:val="00905FA4"/>
    <w:rsid w:val="009075A8"/>
    <w:rsid w:val="009122A6"/>
    <w:rsid w:val="00917DC6"/>
    <w:rsid w:val="009224B7"/>
    <w:rsid w:val="00927261"/>
    <w:rsid w:val="00934B44"/>
    <w:rsid w:val="00942BEF"/>
    <w:rsid w:val="00944895"/>
    <w:rsid w:val="0096347E"/>
    <w:rsid w:val="00965D83"/>
    <w:rsid w:val="0098006E"/>
    <w:rsid w:val="00980F4D"/>
    <w:rsid w:val="0098655D"/>
    <w:rsid w:val="0098772B"/>
    <w:rsid w:val="009B08AB"/>
    <w:rsid w:val="009D3091"/>
    <w:rsid w:val="009D4450"/>
    <w:rsid w:val="009E090F"/>
    <w:rsid w:val="009E1EBF"/>
    <w:rsid w:val="009E556A"/>
    <w:rsid w:val="009F2906"/>
    <w:rsid w:val="00A23EBA"/>
    <w:rsid w:val="00A2425F"/>
    <w:rsid w:val="00A349A2"/>
    <w:rsid w:val="00A34DE5"/>
    <w:rsid w:val="00A377EF"/>
    <w:rsid w:val="00A43B37"/>
    <w:rsid w:val="00A64732"/>
    <w:rsid w:val="00A73C92"/>
    <w:rsid w:val="00A83A9D"/>
    <w:rsid w:val="00A875EF"/>
    <w:rsid w:val="00A9004E"/>
    <w:rsid w:val="00A9076D"/>
    <w:rsid w:val="00AA1BA3"/>
    <w:rsid w:val="00AA4645"/>
    <w:rsid w:val="00AD4A1B"/>
    <w:rsid w:val="00AD5340"/>
    <w:rsid w:val="00AE7DD8"/>
    <w:rsid w:val="00B1186A"/>
    <w:rsid w:val="00B17465"/>
    <w:rsid w:val="00B21AF4"/>
    <w:rsid w:val="00B30385"/>
    <w:rsid w:val="00B3059B"/>
    <w:rsid w:val="00B312F3"/>
    <w:rsid w:val="00B411FB"/>
    <w:rsid w:val="00B4335D"/>
    <w:rsid w:val="00B545DD"/>
    <w:rsid w:val="00B56125"/>
    <w:rsid w:val="00B60F7C"/>
    <w:rsid w:val="00B8477B"/>
    <w:rsid w:val="00B858E5"/>
    <w:rsid w:val="00BA1861"/>
    <w:rsid w:val="00BA1F1F"/>
    <w:rsid w:val="00BA34DB"/>
    <w:rsid w:val="00BB65AA"/>
    <w:rsid w:val="00BC09BF"/>
    <w:rsid w:val="00BC6743"/>
    <w:rsid w:val="00BE2953"/>
    <w:rsid w:val="00C1706B"/>
    <w:rsid w:val="00C26541"/>
    <w:rsid w:val="00C31E59"/>
    <w:rsid w:val="00C37BDD"/>
    <w:rsid w:val="00C45D02"/>
    <w:rsid w:val="00C50C22"/>
    <w:rsid w:val="00C50FF0"/>
    <w:rsid w:val="00C660C1"/>
    <w:rsid w:val="00C82C8A"/>
    <w:rsid w:val="00C83511"/>
    <w:rsid w:val="00C850D3"/>
    <w:rsid w:val="00CC2427"/>
    <w:rsid w:val="00CC324C"/>
    <w:rsid w:val="00CC427F"/>
    <w:rsid w:val="00CD5515"/>
    <w:rsid w:val="00D11CD8"/>
    <w:rsid w:val="00D227DF"/>
    <w:rsid w:val="00D3760C"/>
    <w:rsid w:val="00D43F5D"/>
    <w:rsid w:val="00D53AE5"/>
    <w:rsid w:val="00D55268"/>
    <w:rsid w:val="00D631C9"/>
    <w:rsid w:val="00D6576A"/>
    <w:rsid w:val="00D65973"/>
    <w:rsid w:val="00D740B4"/>
    <w:rsid w:val="00D74D0D"/>
    <w:rsid w:val="00D86B5A"/>
    <w:rsid w:val="00D946A5"/>
    <w:rsid w:val="00DA314E"/>
    <w:rsid w:val="00DC3602"/>
    <w:rsid w:val="00DC3766"/>
    <w:rsid w:val="00DC431F"/>
    <w:rsid w:val="00DD0FB4"/>
    <w:rsid w:val="00DD3807"/>
    <w:rsid w:val="00DE39F3"/>
    <w:rsid w:val="00DE7C85"/>
    <w:rsid w:val="00DF0313"/>
    <w:rsid w:val="00E01C08"/>
    <w:rsid w:val="00E0309C"/>
    <w:rsid w:val="00E1709F"/>
    <w:rsid w:val="00E20EE9"/>
    <w:rsid w:val="00E239AB"/>
    <w:rsid w:val="00E6369E"/>
    <w:rsid w:val="00E9314D"/>
    <w:rsid w:val="00E954BA"/>
    <w:rsid w:val="00EA456C"/>
    <w:rsid w:val="00EA6987"/>
    <w:rsid w:val="00EB0B8E"/>
    <w:rsid w:val="00EF3064"/>
    <w:rsid w:val="00EF4652"/>
    <w:rsid w:val="00EF4B01"/>
    <w:rsid w:val="00EF4B75"/>
    <w:rsid w:val="00F1715D"/>
    <w:rsid w:val="00F17762"/>
    <w:rsid w:val="00F209AA"/>
    <w:rsid w:val="00F2226A"/>
    <w:rsid w:val="00F26CED"/>
    <w:rsid w:val="00F3042F"/>
    <w:rsid w:val="00F355E4"/>
    <w:rsid w:val="00F35EF6"/>
    <w:rsid w:val="00F3660D"/>
    <w:rsid w:val="00F43D44"/>
    <w:rsid w:val="00F520B7"/>
    <w:rsid w:val="00F53327"/>
    <w:rsid w:val="00F55172"/>
    <w:rsid w:val="00F7055E"/>
    <w:rsid w:val="00F809C1"/>
    <w:rsid w:val="00F87DFB"/>
    <w:rsid w:val="00F93879"/>
    <w:rsid w:val="00FC1D86"/>
    <w:rsid w:val="00FD26C5"/>
    <w:rsid w:val="00FE121A"/>
    <w:rsid w:val="00FE14AC"/>
    <w:rsid w:val="00FE3A4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DC9962"/>
  <w15:docId w15:val="{E399A8DB-EDD3-4466-9301-85290144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C6"/>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iPriority w:val="9"/>
    <w:semiHidden/>
    <w:unhideWhenUsed/>
    <w:qFormat/>
    <w:rsid w:val="00EA698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Default"/>
    <w:next w:val="Default"/>
    <w:link w:val="Ttulo4Car"/>
    <w:qFormat/>
    <w:rsid w:val="002F1314"/>
    <w:pPr>
      <w:keepNext/>
      <w:spacing w:before="120" w:after="120"/>
      <w:jc w:val="both"/>
      <w:outlineLvl w:val="3"/>
    </w:pPr>
    <w:rPr>
      <w:rFonts w:eastAsia="Times New Roman" w:cs="Times New Roman"/>
      <w:b/>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EA6987"/>
    <w:rPr>
      <w:rFonts w:asciiTheme="majorHAnsi" w:eastAsiaTheme="majorEastAsia" w:hAnsiTheme="majorHAnsi" w:cstheme="majorBidi"/>
      <w:color w:val="243F60" w:themeColor="accent1" w:themeShade="7F"/>
      <w:sz w:val="24"/>
      <w:szCs w:val="24"/>
      <w:lang w:val="es-ES_tradnl" w:eastAsia="es-ES"/>
    </w:rPr>
  </w:style>
  <w:style w:type="paragraph" w:customStyle="1" w:styleId="Default">
    <w:name w:val="Default"/>
    <w:qFormat/>
    <w:rsid w:val="009E556A"/>
    <w:pPr>
      <w:autoSpaceDE w:val="0"/>
      <w:autoSpaceDN w:val="0"/>
      <w:adjustRightInd w:val="0"/>
      <w:spacing w:after="0" w:line="240" w:lineRule="auto"/>
    </w:pPr>
    <w:rPr>
      <w:rFonts w:ascii="Arial" w:hAnsi="Arial" w:cs="Arial"/>
      <w:color w:val="000000"/>
      <w:sz w:val="24"/>
      <w:szCs w:val="24"/>
    </w:rPr>
  </w:style>
  <w:style w:type="character" w:customStyle="1" w:styleId="Ttulo4Car">
    <w:name w:val="Título 4 Car"/>
    <w:basedOn w:val="Fuentedeprrafopredeter"/>
    <w:link w:val="Ttulo4"/>
    <w:rsid w:val="002F1314"/>
    <w:rPr>
      <w:rFonts w:ascii="Arial" w:eastAsia="Times New Roman" w:hAnsi="Arial" w:cs="Times New Roman"/>
      <w:b/>
      <w:color w:val="000000"/>
      <w:sz w:val="24"/>
      <w:szCs w:val="24"/>
      <w:lang w:val="es-ES_tradnl" w:eastAsia="es-ES"/>
    </w:rPr>
  </w:style>
  <w:style w:type="paragraph" w:styleId="Encabezado">
    <w:name w:val="header"/>
    <w:basedOn w:val="Normal"/>
    <w:link w:val="EncabezadoCar"/>
    <w:uiPriority w:val="99"/>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965D83"/>
  </w:style>
  <w:style w:type="paragraph" w:styleId="Piedepgina">
    <w:name w:val="footer"/>
    <w:basedOn w:val="Normal"/>
    <w:link w:val="PiedepginaCar"/>
    <w:uiPriority w:val="99"/>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965D83"/>
  </w:style>
  <w:style w:type="paragraph" w:styleId="Textodeglobo">
    <w:name w:val="Balloon Text"/>
    <w:basedOn w:val="Normal"/>
    <w:link w:val="TextodegloboCar"/>
    <w:uiPriority w:val="99"/>
    <w:semiHidden/>
    <w:unhideWhenUsed/>
    <w:rsid w:val="00965D83"/>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D83"/>
    <w:rPr>
      <w:rFonts w:ascii="Tahoma" w:hAnsi="Tahoma" w:cs="Tahoma"/>
      <w:sz w:val="16"/>
      <w:szCs w:val="16"/>
    </w:rPr>
  </w:style>
  <w:style w:type="table" w:styleId="Tablaconcuadrcula">
    <w:name w:val="Table Grid"/>
    <w:basedOn w:val="Tablanormal"/>
    <w:uiPriority w:val="39"/>
    <w:rsid w:val="009D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 1,Llista Nivell1,Lista de nivel 1,Lettre d'introduction,Table of contents numbered,Paragraphe de liste PBLH,BULLET 1,List Bulletized,List Paragraph Char Char,Bullet Points,Liste Paragraf,Listenabsatz1,Elenco Bullet point"/>
    <w:basedOn w:val="Normal"/>
    <w:link w:val="PrrafodelistaCar"/>
    <w:uiPriority w:val="34"/>
    <w:qFormat/>
    <w:rsid w:val="009D3091"/>
    <w:pPr>
      <w:spacing w:after="160" w:line="259"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aliases w:val="List Paragraph 1 Car,Llista Nivell1 Car,Lista de nivel 1 Car,Lettre d'introduction Car,Table of contents numbered Car,Paragraphe de liste PBLH Car,BULLET 1 Car,List Bulletized Car,List Paragraph Char Char Car,Bullet Points Car"/>
    <w:basedOn w:val="Fuentedeprrafopredeter"/>
    <w:link w:val="Prrafodelista"/>
    <w:uiPriority w:val="34"/>
    <w:qFormat/>
    <w:locked/>
    <w:rsid w:val="009D3091"/>
  </w:style>
  <w:style w:type="paragraph" w:styleId="Ttulo">
    <w:name w:val="Title"/>
    <w:basedOn w:val="Normal"/>
    <w:link w:val="TtuloCar"/>
    <w:qFormat/>
    <w:rsid w:val="009D3091"/>
    <w:pPr>
      <w:jc w:val="center"/>
    </w:pPr>
    <w:rPr>
      <w:b/>
    </w:rPr>
  </w:style>
  <w:style w:type="character" w:customStyle="1" w:styleId="TtuloCar">
    <w:name w:val="Título Car"/>
    <w:basedOn w:val="Fuentedeprrafopredeter"/>
    <w:link w:val="Ttulo"/>
    <w:rsid w:val="009D3091"/>
    <w:rPr>
      <w:rFonts w:ascii="Times New Roman" w:eastAsia="Times New Roman" w:hAnsi="Times New Roman" w:cs="Times New Roman"/>
      <w:b/>
      <w:sz w:val="20"/>
      <w:szCs w:val="20"/>
      <w:lang w:val="es-ES_tradnl" w:eastAsia="es-ES"/>
    </w:rPr>
  </w:style>
  <w:style w:type="paragraph" w:styleId="Sinespaciado">
    <w:name w:val="No Spacing"/>
    <w:uiPriority w:val="1"/>
    <w:qFormat/>
    <w:rsid w:val="00C50FF0"/>
    <w:pPr>
      <w:spacing w:after="0" w:line="240" w:lineRule="auto"/>
    </w:pPr>
  </w:style>
  <w:style w:type="paragraph" w:customStyle="1" w:styleId="NormalM">
    <w:name w:val="NormalM"/>
    <w:basedOn w:val="Normal"/>
    <w:link w:val="NormalMCar"/>
    <w:qFormat/>
    <w:rsid w:val="0098006E"/>
    <w:pPr>
      <w:spacing w:before="120" w:after="120"/>
      <w:jc w:val="both"/>
    </w:pPr>
    <w:rPr>
      <w:rFonts w:ascii="Calibri" w:eastAsiaTheme="minorHAnsi" w:hAnsi="Calibri" w:cs="Arial"/>
      <w:sz w:val="24"/>
      <w:szCs w:val="15"/>
      <w:lang w:val="es-ES" w:eastAsia="en-US"/>
    </w:rPr>
  </w:style>
  <w:style w:type="character" w:customStyle="1" w:styleId="NormalMCar">
    <w:name w:val="NormalM Car"/>
    <w:basedOn w:val="Fuentedeprrafopredeter"/>
    <w:link w:val="NormalM"/>
    <w:rsid w:val="0098006E"/>
    <w:rPr>
      <w:rFonts w:ascii="Calibri" w:hAnsi="Calibri" w:cs="Arial"/>
      <w:sz w:val="24"/>
      <w:szCs w:val="15"/>
    </w:rPr>
  </w:style>
  <w:style w:type="character" w:styleId="Refdecomentario">
    <w:name w:val="annotation reference"/>
    <w:basedOn w:val="Fuentedeprrafopredeter"/>
    <w:uiPriority w:val="99"/>
    <w:semiHidden/>
    <w:unhideWhenUsed/>
    <w:rsid w:val="00A2425F"/>
    <w:rPr>
      <w:sz w:val="16"/>
      <w:szCs w:val="16"/>
    </w:rPr>
  </w:style>
  <w:style w:type="paragraph" w:styleId="Textocomentario">
    <w:name w:val="annotation text"/>
    <w:basedOn w:val="Normal"/>
    <w:link w:val="TextocomentarioCar"/>
    <w:uiPriority w:val="99"/>
    <w:unhideWhenUsed/>
    <w:rsid w:val="00A2425F"/>
  </w:style>
  <w:style w:type="character" w:customStyle="1" w:styleId="TextocomentarioCar">
    <w:name w:val="Texto comentario Car"/>
    <w:basedOn w:val="Fuentedeprrafopredeter"/>
    <w:link w:val="Textocomentario"/>
    <w:uiPriority w:val="99"/>
    <w:rsid w:val="00A2425F"/>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2425F"/>
    <w:rPr>
      <w:b/>
      <w:bCs/>
    </w:rPr>
  </w:style>
  <w:style w:type="character" w:customStyle="1" w:styleId="AsuntodelcomentarioCar">
    <w:name w:val="Asunto del comentario Car"/>
    <w:basedOn w:val="TextocomentarioCar"/>
    <w:link w:val="Asuntodelcomentario"/>
    <w:uiPriority w:val="99"/>
    <w:semiHidden/>
    <w:rsid w:val="00A2425F"/>
    <w:rPr>
      <w:rFonts w:ascii="Times New Roman" w:eastAsia="Times New Roman" w:hAnsi="Times New Roman" w:cs="Times New Roman"/>
      <w:b/>
      <w:bCs/>
      <w:sz w:val="20"/>
      <w:szCs w:val="20"/>
      <w:lang w:val="es-ES_tradnl" w:eastAsia="es-ES"/>
    </w:rPr>
  </w:style>
  <w:style w:type="character" w:styleId="Hipervnculo">
    <w:name w:val="Hyperlink"/>
    <w:basedOn w:val="Fuentedeprrafopredeter"/>
    <w:uiPriority w:val="99"/>
    <w:unhideWhenUsed/>
    <w:rsid w:val="005D5562"/>
    <w:rPr>
      <w:color w:val="0000FF" w:themeColor="hyperlink"/>
      <w:u w:val="single"/>
    </w:rPr>
  </w:style>
  <w:style w:type="character" w:styleId="Hipervnculovisitado">
    <w:name w:val="FollowedHyperlink"/>
    <w:basedOn w:val="Fuentedeprrafopredeter"/>
    <w:uiPriority w:val="99"/>
    <w:semiHidden/>
    <w:unhideWhenUsed/>
    <w:rsid w:val="00745CDC"/>
    <w:rPr>
      <w:color w:val="800080" w:themeColor="followedHyperlink"/>
      <w:u w:val="single"/>
    </w:rPr>
  </w:style>
  <w:style w:type="paragraph" w:styleId="Revisin">
    <w:name w:val="Revision"/>
    <w:hidden/>
    <w:uiPriority w:val="99"/>
    <w:semiHidden/>
    <w:rsid w:val="00A349A2"/>
    <w:pPr>
      <w:spacing w:after="0" w:line="240" w:lineRule="auto"/>
    </w:pPr>
    <w:rPr>
      <w:rFonts w:ascii="Times New Roman" w:eastAsia="Times New Roman" w:hAnsi="Times New Roman" w:cs="Times New Roman"/>
      <w:sz w:val="20"/>
      <w:szCs w:val="20"/>
      <w:lang w:val="es-ES_tradnl" w:eastAsia="es-ES"/>
    </w:rPr>
  </w:style>
  <w:style w:type="paragraph" w:customStyle="1" w:styleId="msonormal0">
    <w:name w:val="msonormal"/>
    <w:basedOn w:val="Normal"/>
    <w:rsid w:val="00C1706B"/>
    <w:pPr>
      <w:spacing w:before="100" w:beforeAutospacing="1" w:after="100" w:afterAutospacing="1"/>
    </w:pPr>
    <w:rPr>
      <w:sz w:val="24"/>
      <w:szCs w:val="24"/>
      <w:lang w:val="es-ES"/>
    </w:rPr>
  </w:style>
  <w:style w:type="paragraph" w:customStyle="1" w:styleId="font5">
    <w:name w:val="font5"/>
    <w:basedOn w:val="Normal"/>
    <w:rsid w:val="00C1706B"/>
    <w:pPr>
      <w:spacing w:before="100" w:beforeAutospacing="1" w:after="100" w:afterAutospacing="1"/>
    </w:pPr>
    <w:rPr>
      <w:rFonts w:ascii="Arial" w:hAnsi="Arial" w:cs="Arial"/>
      <w:color w:val="000000"/>
      <w:lang w:val="es-ES"/>
    </w:rPr>
  </w:style>
  <w:style w:type="paragraph" w:customStyle="1" w:styleId="xl65">
    <w:name w:val="xl65"/>
    <w:basedOn w:val="Normal"/>
    <w:rsid w:val="00C1706B"/>
    <w:pPr>
      <w:spacing w:before="100" w:beforeAutospacing="1" w:after="100" w:afterAutospacing="1"/>
      <w:jc w:val="center"/>
      <w:textAlignment w:val="center"/>
    </w:pPr>
    <w:rPr>
      <w:sz w:val="24"/>
      <w:szCs w:val="24"/>
      <w:lang w:val="es-ES"/>
    </w:rPr>
  </w:style>
  <w:style w:type="paragraph" w:customStyle="1" w:styleId="xl66">
    <w:name w:val="xl66"/>
    <w:basedOn w:val="Normal"/>
    <w:rsid w:val="00C1706B"/>
    <w:pPr>
      <w:shd w:val="clear" w:color="000000" w:fill="FFFFFF"/>
      <w:spacing w:before="100" w:beforeAutospacing="1" w:after="100" w:afterAutospacing="1"/>
      <w:jc w:val="center"/>
      <w:textAlignment w:val="center"/>
    </w:pPr>
    <w:rPr>
      <w:sz w:val="24"/>
      <w:szCs w:val="24"/>
      <w:lang w:val="es-ES"/>
    </w:rPr>
  </w:style>
  <w:style w:type="paragraph" w:customStyle="1" w:styleId="xl67">
    <w:name w:val="xl67"/>
    <w:basedOn w:val="Normal"/>
    <w:rsid w:val="00C1706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ES"/>
    </w:rPr>
  </w:style>
  <w:style w:type="paragraph" w:customStyle="1" w:styleId="xl68">
    <w:name w:val="xl68"/>
    <w:basedOn w:val="Normal"/>
    <w:rsid w:val="00C170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ES"/>
    </w:rPr>
  </w:style>
  <w:style w:type="paragraph" w:customStyle="1" w:styleId="xl69">
    <w:name w:val="xl69"/>
    <w:basedOn w:val="Normal"/>
    <w:rsid w:val="00C1706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ES"/>
    </w:rPr>
  </w:style>
  <w:style w:type="paragraph" w:customStyle="1" w:styleId="xl70">
    <w:name w:val="xl70"/>
    <w:basedOn w:val="Normal"/>
    <w:rsid w:val="00C1706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ES"/>
    </w:rPr>
  </w:style>
  <w:style w:type="paragraph" w:customStyle="1" w:styleId="xl71">
    <w:name w:val="xl71"/>
    <w:basedOn w:val="Normal"/>
    <w:rsid w:val="00C1706B"/>
    <w:pPr>
      <w:pBdr>
        <w:bottom w:val="single" w:sz="8" w:space="0" w:color="auto"/>
        <w:right w:val="single" w:sz="8" w:space="0" w:color="auto"/>
      </w:pBdr>
      <w:spacing w:before="100" w:beforeAutospacing="1" w:after="100" w:afterAutospacing="1"/>
      <w:textAlignment w:val="center"/>
    </w:pPr>
    <w:rPr>
      <w:rFonts w:ascii="Arial" w:hAnsi="Arial" w:cs="Arial"/>
      <w:lang w:val="es-ES"/>
    </w:rPr>
  </w:style>
  <w:style w:type="paragraph" w:customStyle="1" w:styleId="xl72">
    <w:name w:val="xl72"/>
    <w:basedOn w:val="Normal"/>
    <w:rsid w:val="00C1706B"/>
    <w:pPr>
      <w:pBdr>
        <w:bottom w:val="single" w:sz="8" w:space="0" w:color="auto"/>
        <w:right w:val="single" w:sz="8" w:space="0" w:color="auto"/>
      </w:pBdr>
      <w:spacing w:before="100" w:beforeAutospacing="1" w:after="100" w:afterAutospacing="1"/>
      <w:jc w:val="center"/>
      <w:textAlignment w:val="center"/>
    </w:pPr>
    <w:rPr>
      <w:rFonts w:ascii="Arial" w:hAnsi="Arial" w:cs="Arial"/>
      <w:lang w:val="es-ES"/>
    </w:rPr>
  </w:style>
  <w:style w:type="paragraph" w:customStyle="1" w:styleId="xl73">
    <w:name w:val="xl73"/>
    <w:basedOn w:val="Normal"/>
    <w:rsid w:val="00C1706B"/>
    <w:pPr>
      <w:pBdr>
        <w:right w:val="single" w:sz="8" w:space="0" w:color="auto"/>
      </w:pBdr>
      <w:spacing w:before="100" w:beforeAutospacing="1" w:after="100" w:afterAutospacing="1"/>
      <w:textAlignment w:val="center"/>
    </w:pPr>
    <w:rPr>
      <w:rFonts w:ascii="Arial" w:hAnsi="Arial" w:cs="Arial"/>
      <w:lang w:val="es-ES"/>
    </w:rPr>
  </w:style>
  <w:style w:type="paragraph" w:customStyle="1" w:styleId="xl74">
    <w:name w:val="xl74"/>
    <w:basedOn w:val="Normal"/>
    <w:rsid w:val="00C1706B"/>
    <w:pPr>
      <w:spacing w:before="100" w:beforeAutospacing="1" w:after="100" w:afterAutospacing="1"/>
      <w:textAlignment w:val="center"/>
    </w:pPr>
    <w:rPr>
      <w:rFonts w:ascii="Arial" w:hAnsi="Arial" w:cs="Arial"/>
      <w:lang w:val="es-ES"/>
    </w:rPr>
  </w:style>
  <w:style w:type="paragraph" w:customStyle="1" w:styleId="xl75">
    <w:name w:val="xl75"/>
    <w:basedOn w:val="Normal"/>
    <w:rsid w:val="00C1706B"/>
    <w:pPr>
      <w:pBdr>
        <w:left w:val="single" w:sz="8" w:space="0" w:color="auto"/>
        <w:right w:val="single" w:sz="8" w:space="0" w:color="auto"/>
      </w:pBdr>
      <w:spacing w:before="100" w:beforeAutospacing="1" w:after="100" w:afterAutospacing="1"/>
      <w:jc w:val="center"/>
      <w:textAlignment w:val="center"/>
    </w:pPr>
    <w:rPr>
      <w:rFonts w:ascii="Arial" w:hAnsi="Arial" w:cs="Arial"/>
      <w:lang w:val="es-ES"/>
    </w:rPr>
  </w:style>
  <w:style w:type="paragraph" w:customStyle="1" w:styleId="xl76">
    <w:name w:val="xl76"/>
    <w:basedOn w:val="Normal"/>
    <w:rsid w:val="00C1706B"/>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val="es-ES"/>
    </w:rPr>
  </w:style>
  <w:style w:type="paragraph" w:customStyle="1" w:styleId="xl77">
    <w:name w:val="xl77"/>
    <w:basedOn w:val="Normal"/>
    <w:rsid w:val="00C1706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es-ES"/>
    </w:rPr>
  </w:style>
  <w:style w:type="paragraph" w:customStyle="1" w:styleId="xl78">
    <w:name w:val="xl78"/>
    <w:basedOn w:val="Normal"/>
    <w:rsid w:val="00C1706B"/>
    <w:pPr>
      <w:pBdr>
        <w:right w:val="single" w:sz="8" w:space="0" w:color="auto"/>
      </w:pBdr>
      <w:spacing w:before="100" w:beforeAutospacing="1" w:after="100" w:afterAutospacing="1"/>
      <w:jc w:val="center"/>
      <w:textAlignment w:val="center"/>
    </w:pPr>
    <w:rPr>
      <w:rFonts w:ascii="Arial" w:hAnsi="Arial" w:cs="Arial"/>
      <w:lang w:val="es-ES"/>
    </w:rPr>
  </w:style>
  <w:style w:type="paragraph" w:customStyle="1" w:styleId="xl79">
    <w:name w:val="xl79"/>
    <w:basedOn w:val="Normal"/>
    <w:rsid w:val="00C1706B"/>
    <w:pPr>
      <w:pBdr>
        <w:right w:val="single" w:sz="8" w:space="0" w:color="auto"/>
      </w:pBdr>
      <w:shd w:val="clear" w:color="000000" w:fill="FFFFFF"/>
      <w:spacing w:before="100" w:beforeAutospacing="1" w:after="100" w:afterAutospacing="1"/>
      <w:textAlignment w:val="center"/>
    </w:pPr>
    <w:rPr>
      <w:rFonts w:ascii="Arial" w:hAnsi="Arial" w:cs="Arial"/>
      <w:lang w:val="es-ES"/>
    </w:rPr>
  </w:style>
  <w:style w:type="paragraph" w:customStyle="1" w:styleId="xl80">
    <w:name w:val="xl80"/>
    <w:basedOn w:val="Normal"/>
    <w:rsid w:val="00C1706B"/>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lang w:val="es-ES"/>
    </w:rPr>
  </w:style>
  <w:style w:type="paragraph" w:customStyle="1" w:styleId="xl81">
    <w:name w:val="xl81"/>
    <w:basedOn w:val="Normal"/>
    <w:rsid w:val="00C1706B"/>
    <w:pPr>
      <w:pBdr>
        <w:top w:val="single" w:sz="8" w:space="0" w:color="auto"/>
        <w:right w:val="single" w:sz="8" w:space="0" w:color="auto"/>
      </w:pBdr>
      <w:spacing w:before="100" w:beforeAutospacing="1" w:after="100" w:afterAutospacing="1"/>
      <w:textAlignment w:val="center"/>
    </w:pPr>
    <w:rPr>
      <w:rFonts w:ascii="Arial" w:hAnsi="Arial" w:cs="Arial"/>
      <w:lang w:val="es-ES"/>
    </w:rPr>
  </w:style>
  <w:style w:type="paragraph" w:customStyle="1" w:styleId="xl82">
    <w:name w:val="xl82"/>
    <w:basedOn w:val="Normal"/>
    <w:rsid w:val="00C170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val="es-ES"/>
    </w:rPr>
  </w:style>
  <w:style w:type="paragraph" w:customStyle="1" w:styleId="xl83">
    <w:name w:val="xl83"/>
    <w:basedOn w:val="Normal"/>
    <w:rsid w:val="00C1706B"/>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val="es-ES"/>
    </w:rPr>
  </w:style>
  <w:style w:type="paragraph" w:customStyle="1" w:styleId="xl84">
    <w:name w:val="xl84"/>
    <w:basedOn w:val="Normal"/>
    <w:rsid w:val="00C1706B"/>
    <w:pPr>
      <w:pBdr>
        <w:left w:val="single" w:sz="8" w:space="0" w:color="auto"/>
        <w:right w:val="single" w:sz="8" w:space="0" w:color="auto"/>
      </w:pBdr>
      <w:spacing w:before="100" w:beforeAutospacing="1" w:after="100" w:afterAutospacing="1"/>
      <w:textAlignment w:val="center"/>
    </w:pPr>
    <w:rPr>
      <w:rFonts w:ascii="Arial" w:hAnsi="Arial" w:cs="Arial"/>
      <w:lang w:val="es-ES"/>
    </w:rPr>
  </w:style>
  <w:style w:type="paragraph" w:customStyle="1" w:styleId="xl85">
    <w:name w:val="xl85"/>
    <w:basedOn w:val="Normal"/>
    <w:rsid w:val="00C1706B"/>
    <w:pPr>
      <w:pBdr>
        <w:right w:val="single" w:sz="8" w:space="0" w:color="auto"/>
      </w:pBdr>
      <w:spacing w:before="100" w:beforeAutospacing="1" w:after="100" w:afterAutospacing="1"/>
      <w:jc w:val="center"/>
      <w:textAlignment w:val="center"/>
    </w:pPr>
    <w:rPr>
      <w:rFonts w:ascii="Arial" w:hAnsi="Arial" w:cs="Arial"/>
      <w:lang w:val="es-ES"/>
    </w:rPr>
  </w:style>
  <w:style w:type="paragraph" w:customStyle="1" w:styleId="xl86">
    <w:name w:val="xl86"/>
    <w:basedOn w:val="Normal"/>
    <w:rsid w:val="00C170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lang w:val="es-ES"/>
    </w:rPr>
  </w:style>
  <w:style w:type="paragraph" w:customStyle="1" w:styleId="xl87">
    <w:name w:val="xl87"/>
    <w:basedOn w:val="Normal"/>
    <w:rsid w:val="00C1706B"/>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lang w:val="es-ES"/>
    </w:rPr>
  </w:style>
  <w:style w:type="paragraph" w:customStyle="1" w:styleId="xl88">
    <w:name w:val="xl88"/>
    <w:basedOn w:val="Normal"/>
    <w:rsid w:val="00C170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lang w:val="es-ES"/>
    </w:rPr>
  </w:style>
  <w:style w:type="paragraph" w:customStyle="1" w:styleId="xl89">
    <w:name w:val="xl89"/>
    <w:basedOn w:val="Normal"/>
    <w:rsid w:val="00C1706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lang w:val="es-ES"/>
    </w:rPr>
  </w:style>
  <w:style w:type="paragraph" w:customStyle="1" w:styleId="xl90">
    <w:name w:val="xl90"/>
    <w:basedOn w:val="Normal"/>
    <w:rsid w:val="00C170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es-ES"/>
    </w:rPr>
  </w:style>
  <w:style w:type="paragraph" w:customStyle="1" w:styleId="xl91">
    <w:name w:val="xl91"/>
    <w:basedOn w:val="Normal"/>
    <w:rsid w:val="00C1706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lang w:val="es-ES"/>
    </w:rPr>
  </w:style>
  <w:style w:type="paragraph" w:customStyle="1" w:styleId="xl92">
    <w:name w:val="xl92"/>
    <w:basedOn w:val="Normal"/>
    <w:rsid w:val="00C1706B"/>
    <w:pPr>
      <w:pBdr>
        <w:left w:val="single" w:sz="8" w:space="0" w:color="auto"/>
        <w:right w:val="single" w:sz="8" w:space="0" w:color="auto"/>
      </w:pBdr>
      <w:spacing w:before="100" w:beforeAutospacing="1" w:after="100" w:afterAutospacing="1"/>
      <w:jc w:val="center"/>
      <w:textAlignment w:val="center"/>
    </w:pPr>
    <w:rPr>
      <w:rFonts w:ascii="Arial" w:hAnsi="Arial" w:cs="Arial"/>
      <w:lang w:val="es-ES"/>
    </w:rPr>
  </w:style>
  <w:style w:type="paragraph" w:customStyle="1" w:styleId="xl93">
    <w:name w:val="xl93"/>
    <w:basedOn w:val="Normal"/>
    <w:rsid w:val="00C1706B"/>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lang w:val="es-ES"/>
    </w:rPr>
  </w:style>
  <w:style w:type="paragraph" w:customStyle="1" w:styleId="xl94">
    <w:name w:val="xl94"/>
    <w:basedOn w:val="Normal"/>
    <w:rsid w:val="00C170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lang w:val="es-ES"/>
    </w:rPr>
  </w:style>
  <w:style w:type="paragraph" w:customStyle="1" w:styleId="xl95">
    <w:name w:val="xl95"/>
    <w:basedOn w:val="Normal"/>
    <w:rsid w:val="00C1706B"/>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lang w:val="es-ES"/>
    </w:rPr>
  </w:style>
  <w:style w:type="paragraph" w:customStyle="1" w:styleId="xl96">
    <w:name w:val="xl96"/>
    <w:basedOn w:val="Normal"/>
    <w:rsid w:val="00C1706B"/>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lang w:val="es-ES"/>
    </w:rPr>
  </w:style>
  <w:style w:type="paragraph" w:customStyle="1" w:styleId="xl97">
    <w:name w:val="xl97"/>
    <w:basedOn w:val="Normal"/>
    <w:rsid w:val="00C1706B"/>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lang w:val="es-ES"/>
    </w:rPr>
  </w:style>
  <w:style w:type="paragraph" w:customStyle="1" w:styleId="xl98">
    <w:name w:val="xl98"/>
    <w:basedOn w:val="Normal"/>
    <w:rsid w:val="00C1706B"/>
    <w:pPr>
      <w:pBdr>
        <w:top w:val="single" w:sz="8"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lang w:val="es-ES"/>
    </w:rPr>
  </w:style>
  <w:style w:type="paragraph" w:customStyle="1" w:styleId="xl99">
    <w:name w:val="xl99"/>
    <w:basedOn w:val="Normal"/>
    <w:rsid w:val="00C1706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lang w:val="es-ES"/>
    </w:rPr>
  </w:style>
  <w:style w:type="paragraph" w:customStyle="1" w:styleId="xl100">
    <w:name w:val="xl100"/>
    <w:basedOn w:val="Normal"/>
    <w:rsid w:val="00C170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es-ES"/>
    </w:rPr>
  </w:style>
  <w:style w:type="paragraph" w:customStyle="1" w:styleId="xl101">
    <w:name w:val="xl101"/>
    <w:basedOn w:val="Normal"/>
    <w:rsid w:val="00C170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lang w:val="es-ES"/>
    </w:rPr>
  </w:style>
  <w:style w:type="paragraph" w:customStyle="1" w:styleId="xl63">
    <w:name w:val="xl63"/>
    <w:basedOn w:val="Normal"/>
    <w:rsid w:val="0096347E"/>
    <w:pPr>
      <w:spacing w:before="100" w:beforeAutospacing="1" w:after="100" w:afterAutospacing="1"/>
      <w:jc w:val="center"/>
      <w:textAlignment w:val="center"/>
    </w:pPr>
    <w:rPr>
      <w:sz w:val="24"/>
      <w:szCs w:val="24"/>
      <w:lang w:val="es-ES"/>
    </w:rPr>
  </w:style>
  <w:style w:type="paragraph" w:customStyle="1" w:styleId="xl64">
    <w:name w:val="xl64"/>
    <w:basedOn w:val="Normal"/>
    <w:rsid w:val="0096347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6353">
      <w:bodyDiv w:val="1"/>
      <w:marLeft w:val="0"/>
      <w:marRight w:val="0"/>
      <w:marTop w:val="0"/>
      <w:marBottom w:val="0"/>
      <w:divBdr>
        <w:top w:val="none" w:sz="0" w:space="0" w:color="auto"/>
        <w:left w:val="none" w:sz="0" w:space="0" w:color="auto"/>
        <w:bottom w:val="none" w:sz="0" w:space="0" w:color="auto"/>
        <w:right w:val="none" w:sz="0" w:space="0" w:color="auto"/>
      </w:divBdr>
    </w:div>
    <w:div w:id="150803713">
      <w:bodyDiv w:val="1"/>
      <w:marLeft w:val="0"/>
      <w:marRight w:val="0"/>
      <w:marTop w:val="0"/>
      <w:marBottom w:val="0"/>
      <w:divBdr>
        <w:top w:val="none" w:sz="0" w:space="0" w:color="auto"/>
        <w:left w:val="none" w:sz="0" w:space="0" w:color="auto"/>
        <w:bottom w:val="none" w:sz="0" w:space="0" w:color="auto"/>
        <w:right w:val="none" w:sz="0" w:space="0" w:color="auto"/>
      </w:divBdr>
    </w:div>
    <w:div w:id="248316105">
      <w:bodyDiv w:val="1"/>
      <w:marLeft w:val="0"/>
      <w:marRight w:val="0"/>
      <w:marTop w:val="0"/>
      <w:marBottom w:val="0"/>
      <w:divBdr>
        <w:top w:val="none" w:sz="0" w:space="0" w:color="auto"/>
        <w:left w:val="none" w:sz="0" w:space="0" w:color="auto"/>
        <w:bottom w:val="none" w:sz="0" w:space="0" w:color="auto"/>
        <w:right w:val="none" w:sz="0" w:space="0" w:color="auto"/>
      </w:divBdr>
    </w:div>
    <w:div w:id="366754781">
      <w:bodyDiv w:val="1"/>
      <w:marLeft w:val="0"/>
      <w:marRight w:val="0"/>
      <w:marTop w:val="0"/>
      <w:marBottom w:val="0"/>
      <w:divBdr>
        <w:top w:val="none" w:sz="0" w:space="0" w:color="auto"/>
        <w:left w:val="none" w:sz="0" w:space="0" w:color="auto"/>
        <w:bottom w:val="none" w:sz="0" w:space="0" w:color="auto"/>
        <w:right w:val="none" w:sz="0" w:space="0" w:color="auto"/>
      </w:divBdr>
    </w:div>
    <w:div w:id="461968799">
      <w:bodyDiv w:val="1"/>
      <w:marLeft w:val="0"/>
      <w:marRight w:val="0"/>
      <w:marTop w:val="0"/>
      <w:marBottom w:val="0"/>
      <w:divBdr>
        <w:top w:val="none" w:sz="0" w:space="0" w:color="auto"/>
        <w:left w:val="none" w:sz="0" w:space="0" w:color="auto"/>
        <w:bottom w:val="none" w:sz="0" w:space="0" w:color="auto"/>
        <w:right w:val="none" w:sz="0" w:space="0" w:color="auto"/>
      </w:divBdr>
    </w:div>
    <w:div w:id="532696283">
      <w:bodyDiv w:val="1"/>
      <w:marLeft w:val="0"/>
      <w:marRight w:val="0"/>
      <w:marTop w:val="0"/>
      <w:marBottom w:val="0"/>
      <w:divBdr>
        <w:top w:val="none" w:sz="0" w:space="0" w:color="auto"/>
        <w:left w:val="none" w:sz="0" w:space="0" w:color="auto"/>
        <w:bottom w:val="none" w:sz="0" w:space="0" w:color="auto"/>
        <w:right w:val="none" w:sz="0" w:space="0" w:color="auto"/>
      </w:divBdr>
    </w:div>
    <w:div w:id="569736139">
      <w:bodyDiv w:val="1"/>
      <w:marLeft w:val="0"/>
      <w:marRight w:val="0"/>
      <w:marTop w:val="0"/>
      <w:marBottom w:val="0"/>
      <w:divBdr>
        <w:top w:val="none" w:sz="0" w:space="0" w:color="auto"/>
        <w:left w:val="none" w:sz="0" w:space="0" w:color="auto"/>
        <w:bottom w:val="none" w:sz="0" w:space="0" w:color="auto"/>
        <w:right w:val="none" w:sz="0" w:space="0" w:color="auto"/>
      </w:divBdr>
    </w:div>
    <w:div w:id="573392519">
      <w:bodyDiv w:val="1"/>
      <w:marLeft w:val="0"/>
      <w:marRight w:val="0"/>
      <w:marTop w:val="0"/>
      <w:marBottom w:val="0"/>
      <w:divBdr>
        <w:top w:val="none" w:sz="0" w:space="0" w:color="auto"/>
        <w:left w:val="none" w:sz="0" w:space="0" w:color="auto"/>
        <w:bottom w:val="none" w:sz="0" w:space="0" w:color="auto"/>
        <w:right w:val="none" w:sz="0" w:space="0" w:color="auto"/>
      </w:divBdr>
    </w:div>
    <w:div w:id="674578287">
      <w:bodyDiv w:val="1"/>
      <w:marLeft w:val="0"/>
      <w:marRight w:val="0"/>
      <w:marTop w:val="0"/>
      <w:marBottom w:val="0"/>
      <w:divBdr>
        <w:top w:val="none" w:sz="0" w:space="0" w:color="auto"/>
        <w:left w:val="none" w:sz="0" w:space="0" w:color="auto"/>
        <w:bottom w:val="none" w:sz="0" w:space="0" w:color="auto"/>
        <w:right w:val="none" w:sz="0" w:space="0" w:color="auto"/>
      </w:divBdr>
    </w:div>
    <w:div w:id="757750613">
      <w:bodyDiv w:val="1"/>
      <w:marLeft w:val="0"/>
      <w:marRight w:val="0"/>
      <w:marTop w:val="0"/>
      <w:marBottom w:val="0"/>
      <w:divBdr>
        <w:top w:val="none" w:sz="0" w:space="0" w:color="auto"/>
        <w:left w:val="none" w:sz="0" w:space="0" w:color="auto"/>
        <w:bottom w:val="none" w:sz="0" w:space="0" w:color="auto"/>
        <w:right w:val="none" w:sz="0" w:space="0" w:color="auto"/>
      </w:divBdr>
    </w:div>
    <w:div w:id="835537985">
      <w:bodyDiv w:val="1"/>
      <w:marLeft w:val="0"/>
      <w:marRight w:val="0"/>
      <w:marTop w:val="0"/>
      <w:marBottom w:val="0"/>
      <w:divBdr>
        <w:top w:val="none" w:sz="0" w:space="0" w:color="auto"/>
        <w:left w:val="none" w:sz="0" w:space="0" w:color="auto"/>
        <w:bottom w:val="none" w:sz="0" w:space="0" w:color="auto"/>
        <w:right w:val="none" w:sz="0" w:space="0" w:color="auto"/>
      </w:divBdr>
    </w:div>
    <w:div w:id="909584737">
      <w:bodyDiv w:val="1"/>
      <w:marLeft w:val="0"/>
      <w:marRight w:val="0"/>
      <w:marTop w:val="0"/>
      <w:marBottom w:val="0"/>
      <w:divBdr>
        <w:top w:val="none" w:sz="0" w:space="0" w:color="auto"/>
        <w:left w:val="none" w:sz="0" w:space="0" w:color="auto"/>
        <w:bottom w:val="none" w:sz="0" w:space="0" w:color="auto"/>
        <w:right w:val="none" w:sz="0" w:space="0" w:color="auto"/>
      </w:divBdr>
    </w:div>
    <w:div w:id="1054423715">
      <w:bodyDiv w:val="1"/>
      <w:marLeft w:val="0"/>
      <w:marRight w:val="0"/>
      <w:marTop w:val="0"/>
      <w:marBottom w:val="0"/>
      <w:divBdr>
        <w:top w:val="none" w:sz="0" w:space="0" w:color="auto"/>
        <w:left w:val="none" w:sz="0" w:space="0" w:color="auto"/>
        <w:bottom w:val="none" w:sz="0" w:space="0" w:color="auto"/>
        <w:right w:val="none" w:sz="0" w:space="0" w:color="auto"/>
      </w:divBdr>
    </w:div>
    <w:div w:id="1202867669">
      <w:bodyDiv w:val="1"/>
      <w:marLeft w:val="0"/>
      <w:marRight w:val="0"/>
      <w:marTop w:val="0"/>
      <w:marBottom w:val="0"/>
      <w:divBdr>
        <w:top w:val="none" w:sz="0" w:space="0" w:color="auto"/>
        <w:left w:val="none" w:sz="0" w:space="0" w:color="auto"/>
        <w:bottom w:val="none" w:sz="0" w:space="0" w:color="auto"/>
        <w:right w:val="none" w:sz="0" w:space="0" w:color="auto"/>
      </w:divBdr>
    </w:div>
    <w:div w:id="1322344383">
      <w:bodyDiv w:val="1"/>
      <w:marLeft w:val="0"/>
      <w:marRight w:val="0"/>
      <w:marTop w:val="0"/>
      <w:marBottom w:val="0"/>
      <w:divBdr>
        <w:top w:val="none" w:sz="0" w:space="0" w:color="auto"/>
        <w:left w:val="none" w:sz="0" w:space="0" w:color="auto"/>
        <w:bottom w:val="none" w:sz="0" w:space="0" w:color="auto"/>
        <w:right w:val="none" w:sz="0" w:space="0" w:color="auto"/>
      </w:divBdr>
    </w:div>
    <w:div w:id="1414083614">
      <w:bodyDiv w:val="1"/>
      <w:marLeft w:val="0"/>
      <w:marRight w:val="0"/>
      <w:marTop w:val="0"/>
      <w:marBottom w:val="0"/>
      <w:divBdr>
        <w:top w:val="none" w:sz="0" w:space="0" w:color="auto"/>
        <w:left w:val="none" w:sz="0" w:space="0" w:color="auto"/>
        <w:bottom w:val="none" w:sz="0" w:space="0" w:color="auto"/>
        <w:right w:val="none" w:sz="0" w:space="0" w:color="auto"/>
      </w:divBdr>
    </w:div>
    <w:div w:id="1608076961">
      <w:bodyDiv w:val="1"/>
      <w:marLeft w:val="0"/>
      <w:marRight w:val="0"/>
      <w:marTop w:val="0"/>
      <w:marBottom w:val="0"/>
      <w:divBdr>
        <w:top w:val="none" w:sz="0" w:space="0" w:color="auto"/>
        <w:left w:val="none" w:sz="0" w:space="0" w:color="auto"/>
        <w:bottom w:val="none" w:sz="0" w:space="0" w:color="auto"/>
        <w:right w:val="none" w:sz="0" w:space="0" w:color="auto"/>
      </w:divBdr>
    </w:div>
    <w:div w:id="1668972027">
      <w:bodyDiv w:val="1"/>
      <w:marLeft w:val="0"/>
      <w:marRight w:val="0"/>
      <w:marTop w:val="0"/>
      <w:marBottom w:val="0"/>
      <w:divBdr>
        <w:top w:val="none" w:sz="0" w:space="0" w:color="auto"/>
        <w:left w:val="none" w:sz="0" w:space="0" w:color="auto"/>
        <w:bottom w:val="none" w:sz="0" w:space="0" w:color="auto"/>
        <w:right w:val="none" w:sz="0" w:space="0" w:color="auto"/>
      </w:divBdr>
    </w:div>
    <w:div w:id="1678384843">
      <w:bodyDiv w:val="1"/>
      <w:marLeft w:val="0"/>
      <w:marRight w:val="0"/>
      <w:marTop w:val="0"/>
      <w:marBottom w:val="0"/>
      <w:divBdr>
        <w:top w:val="none" w:sz="0" w:space="0" w:color="auto"/>
        <w:left w:val="none" w:sz="0" w:space="0" w:color="auto"/>
        <w:bottom w:val="none" w:sz="0" w:space="0" w:color="auto"/>
        <w:right w:val="none" w:sz="0" w:space="0" w:color="auto"/>
      </w:divBdr>
    </w:div>
    <w:div w:id="1859539361">
      <w:bodyDiv w:val="1"/>
      <w:marLeft w:val="0"/>
      <w:marRight w:val="0"/>
      <w:marTop w:val="0"/>
      <w:marBottom w:val="0"/>
      <w:divBdr>
        <w:top w:val="none" w:sz="0" w:space="0" w:color="auto"/>
        <w:left w:val="none" w:sz="0" w:space="0" w:color="auto"/>
        <w:bottom w:val="none" w:sz="0" w:space="0" w:color="auto"/>
        <w:right w:val="none" w:sz="0" w:space="0" w:color="auto"/>
      </w:divBdr>
    </w:div>
    <w:div w:id="1878004237">
      <w:bodyDiv w:val="1"/>
      <w:marLeft w:val="0"/>
      <w:marRight w:val="0"/>
      <w:marTop w:val="0"/>
      <w:marBottom w:val="0"/>
      <w:divBdr>
        <w:top w:val="none" w:sz="0" w:space="0" w:color="auto"/>
        <w:left w:val="none" w:sz="0" w:space="0" w:color="auto"/>
        <w:bottom w:val="none" w:sz="0" w:space="0" w:color="auto"/>
        <w:right w:val="none" w:sz="0" w:space="0" w:color="auto"/>
      </w:divBdr>
    </w:div>
    <w:div w:id="19526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AFC3-FD77-464F-BD21-15A0470A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12830</Words>
  <Characters>70571</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MITYC</Company>
  <LinksUpToDate>false</LinksUpToDate>
  <CharactersWithSpaces>83235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Castillo Muñoz, Ines</dc:creator>
  <cp:lastModifiedBy>Muñoz Llabres, Ana</cp:lastModifiedBy>
  <cp:revision>2</cp:revision>
  <cp:lastPrinted>2021-12-13T12:59:00Z</cp:lastPrinted>
  <dcterms:created xsi:type="dcterms:W3CDTF">2023-05-09T07:17:00Z</dcterms:created>
  <dcterms:modified xsi:type="dcterms:W3CDTF">2023-05-09T07:17:00Z</dcterms:modified>
</cp:coreProperties>
</file>